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7" w:type="dxa"/>
        <w:tblInd w:w="-147" w:type="dxa"/>
        <w:tblLook w:val="0420" w:firstRow="1" w:lastRow="0" w:firstColumn="0" w:lastColumn="0" w:noHBand="0" w:noVBand="1"/>
      </w:tblPr>
      <w:tblGrid>
        <w:gridCol w:w="574"/>
        <w:gridCol w:w="984"/>
        <w:gridCol w:w="2537"/>
        <w:gridCol w:w="1272"/>
        <w:gridCol w:w="197"/>
        <w:gridCol w:w="2759"/>
        <w:gridCol w:w="760"/>
        <w:gridCol w:w="1484"/>
      </w:tblGrid>
      <w:tr w:rsidR="00E75A1D" w:rsidRPr="00E75A1D" w14:paraId="487BF9E7" w14:textId="77777777" w:rsidTr="00CB41FC">
        <w:trPr>
          <w:trHeight w:val="1266"/>
        </w:trPr>
        <w:tc>
          <w:tcPr>
            <w:tcW w:w="10567" w:type="dxa"/>
            <w:gridSpan w:val="8"/>
            <w:shd w:val="clear" w:color="auto" w:fill="BDD6EE" w:themeFill="accent1" w:themeFillTint="66"/>
          </w:tcPr>
          <w:p w14:paraId="7F167B92" w14:textId="287ADB6B" w:rsidR="001055AA" w:rsidRDefault="00364D09" w:rsidP="001055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40686C" wp14:editId="728208D1">
                  <wp:simplePos x="0" y="0"/>
                  <wp:positionH relativeFrom="column">
                    <wp:posOffset>6003290</wp:posOffset>
                  </wp:positionH>
                  <wp:positionV relativeFrom="paragraph">
                    <wp:posOffset>60325</wp:posOffset>
                  </wp:positionV>
                  <wp:extent cx="533400" cy="502023"/>
                  <wp:effectExtent l="0" t="0" r="0" b="0"/>
                  <wp:wrapThrough wrapText="bothSides">
                    <wp:wrapPolygon edited="0">
                      <wp:start x="0" y="0"/>
                      <wp:lineTo x="0" y="20506"/>
                      <wp:lineTo x="20829" y="20506"/>
                      <wp:lineTo x="20829" y="0"/>
                      <wp:lineTo x="0" y="0"/>
                    </wp:wrapPolygon>
                  </wp:wrapThrough>
                  <wp:docPr id="2" name="Picture 1" descr="Home - BBC Studio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 - BBC Studio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00D8FF" w14:textId="2039236A" w:rsidR="00C73453" w:rsidRDefault="00C73453" w:rsidP="00C73453">
            <w:pPr>
              <w:spacing w:after="0" w:line="240" w:lineRule="auto"/>
              <w:jc w:val="center"/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                      </w:t>
            </w:r>
            <w:r w:rsidR="00B7328F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Kelvin Hall</w:t>
            </w:r>
            <w:r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Induction</w:t>
            </w:r>
          </w:p>
          <w:p w14:paraId="0D91AC4B" w14:textId="0E46307B" w:rsidR="00C73453" w:rsidRPr="00767ABC" w:rsidRDefault="00C73453" w:rsidP="00C73453">
            <w:pPr>
              <w:spacing w:after="0" w:line="240" w:lineRule="auto"/>
              <w:jc w:val="center"/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                   </w:t>
            </w:r>
            <w:r w:rsidR="004F792F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Ceiling </w:t>
            </w:r>
            <w:r w:rsidR="00C661DC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G</w:t>
            </w:r>
            <w:r w:rsidR="004F792F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antr</w:t>
            </w:r>
            <w:r w:rsidR="003F72DC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y </w:t>
            </w:r>
            <w:r w:rsidR="00C661DC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W</w:t>
            </w:r>
            <w:r w:rsidR="003F72DC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alkways</w:t>
            </w:r>
          </w:p>
          <w:p w14:paraId="5D3EACE7" w14:textId="288B8440" w:rsidR="00071F1D" w:rsidRPr="00071F1D" w:rsidRDefault="00C73453" w:rsidP="00C7345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 w:themeColor="text1"/>
                <w:sz w:val="8"/>
                <w:szCs w:val="20"/>
              </w:rPr>
            </w:pPr>
            <w:r w:rsidRPr="00F0772F">
              <w:rPr>
                <w:rFonts w:ascii="Aptos" w:hAnsi="Aptos"/>
                <w:bCs/>
                <w:sz w:val="18"/>
                <w:szCs w:val="18"/>
              </w:rPr>
              <w:t>(read carefully and complete the sign-off)</w:t>
            </w:r>
          </w:p>
        </w:tc>
      </w:tr>
      <w:tr w:rsidR="00E75A1D" w:rsidRPr="00E75A1D" w14:paraId="26603F05" w14:textId="77777777" w:rsidTr="00FF225E">
        <w:trPr>
          <w:trHeight w:val="286"/>
        </w:trPr>
        <w:tc>
          <w:tcPr>
            <w:tcW w:w="574" w:type="dxa"/>
            <w:shd w:val="clear" w:color="auto" w:fill="BDD6EE" w:themeFill="accent1" w:themeFillTint="66"/>
          </w:tcPr>
          <w:p w14:paraId="572EE08B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3C69153B" w14:textId="4DA17D23" w:rsidR="00E75A1D" w:rsidRPr="000601EA" w:rsidRDefault="00E75A1D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Fire Exit Routes</w:t>
            </w:r>
            <w:r w:rsidR="00221D4F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must be maintained.</w:t>
            </w:r>
            <w:r w:rsidR="00FB12BF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BC3F14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Keep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Fire </w:t>
            </w:r>
            <w:r w:rsidR="005A24A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Points, Fire</w:t>
            </w:r>
            <w:r w:rsidR="00DB50B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Exits</w:t>
            </w:r>
            <w:r w:rsidR="00B7328F"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="00BC3F14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 stage Fire Lane</w:t>
            </w:r>
            <w:r w:rsidR="00E3432A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  <w:r w:rsidR="00DB50B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clear at all times</w:t>
            </w:r>
          </w:p>
        </w:tc>
      </w:tr>
      <w:tr w:rsidR="00E75A1D" w:rsidRPr="00E75A1D" w14:paraId="1E6B02DC" w14:textId="77777777" w:rsidTr="00FF225E">
        <w:trPr>
          <w:trHeight w:val="272"/>
        </w:trPr>
        <w:tc>
          <w:tcPr>
            <w:tcW w:w="574" w:type="dxa"/>
            <w:shd w:val="clear" w:color="auto" w:fill="BDD6EE" w:themeFill="accent1" w:themeFillTint="66"/>
          </w:tcPr>
          <w:p w14:paraId="555E5A56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1FBC85F0" w14:textId="611A209E" w:rsidR="00E75A1D" w:rsidRPr="000601EA" w:rsidRDefault="00B7328F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Take time to i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dentify </w:t>
            </w:r>
            <w:r w:rsidR="00E3432A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all 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emergency escape routes from work areas, and all site a</w:t>
            </w:r>
            <w:r w:rsidR="009254D6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ssembly 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="005A24A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oints</w:t>
            </w:r>
          </w:p>
        </w:tc>
      </w:tr>
      <w:tr w:rsidR="00E75A1D" w:rsidRPr="00E75A1D" w14:paraId="249D0963" w14:textId="77777777" w:rsidTr="00FF225E">
        <w:trPr>
          <w:trHeight w:val="286"/>
        </w:trPr>
        <w:tc>
          <w:tcPr>
            <w:tcW w:w="574" w:type="dxa"/>
            <w:shd w:val="clear" w:color="auto" w:fill="BDD6EE" w:themeFill="accent1" w:themeFillTint="66"/>
          </w:tcPr>
          <w:p w14:paraId="0A596E05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23DE5CDB" w14:textId="495E1FF7" w:rsidR="00E75A1D" w:rsidRPr="000601EA" w:rsidRDefault="00B7328F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Take time to i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dentify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43744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Welfare Facilities</w:t>
            </w:r>
            <w:r w:rsidR="00E3432A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5A1D" w:rsidRPr="00E75A1D" w14:paraId="6FD9CAAC" w14:textId="77777777" w:rsidTr="00FF225E">
        <w:trPr>
          <w:trHeight w:val="272"/>
        </w:trPr>
        <w:tc>
          <w:tcPr>
            <w:tcW w:w="574" w:type="dxa"/>
            <w:shd w:val="clear" w:color="auto" w:fill="BDD6EE" w:themeFill="accent1" w:themeFillTint="66"/>
          </w:tcPr>
          <w:p w14:paraId="377DEDE9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751CE067" w14:textId="1CC8DEDA" w:rsidR="00E75A1D" w:rsidRPr="000601EA" w:rsidRDefault="00E3432A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Smoking</w:t>
            </w:r>
            <w:r w:rsid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(inc vapes)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is prohibited inside 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all 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building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</w:p>
        </w:tc>
      </w:tr>
      <w:tr w:rsidR="00E75A1D" w:rsidRPr="00E75A1D" w14:paraId="584C1E15" w14:textId="77777777" w:rsidTr="008851EE">
        <w:trPr>
          <w:trHeight w:val="773"/>
        </w:trPr>
        <w:tc>
          <w:tcPr>
            <w:tcW w:w="574" w:type="dxa"/>
            <w:shd w:val="clear" w:color="auto" w:fill="BDD6EE" w:themeFill="accent1" w:themeFillTint="66"/>
          </w:tcPr>
          <w:p w14:paraId="1141210C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0A9D86E1" w14:textId="0DCD2F31" w:rsidR="00E75A1D" w:rsidRPr="000601EA" w:rsidRDefault="00DD30DC" w:rsidP="000601EA">
            <w:pPr>
              <w:spacing w:after="0"/>
              <w:jc w:val="both"/>
              <w:rPr>
                <w:rFonts w:ascii="Aptos" w:hAnsi="Aptos"/>
                <w:sz w:val="20"/>
              </w:rPr>
            </w:pPr>
            <w:r w:rsidRPr="000601EA">
              <w:rPr>
                <w:rFonts w:ascii="Aptos" w:hAnsi="Aptos"/>
                <w:sz w:val="20"/>
              </w:rPr>
              <w:t>Staff and con</w:t>
            </w:r>
            <w:r w:rsidR="00425BB1" w:rsidRPr="000601EA">
              <w:rPr>
                <w:rFonts w:ascii="Aptos" w:hAnsi="Aptos"/>
                <w:sz w:val="20"/>
              </w:rPr>
              <w:t>tractors are forbidden to enter</w:t>
            </w:r>
            <w:r w:rsidR="003F72DC">
              <w:rPr>
                <w:rFonts w:ascii="Aptos" w:hAnsi="Aptos"/>
                <w:sz w:val="20"/>
              </w:rPr>
              <w:t xml:space="preserve"> the</w:t>
            </w:r>
            <w:r w:rsidR="00E3432A" w:rsidRPr="000601EA">
              <w:rPr>
                <w:rFonts w:ascii="Aptos" w:hAnsi="Aptos"/>
                <w:sz w:val="20"/>
              </w:rPr>
              <w:t xml:space="preserve"> gantr</w:t>
            </w:r>
            <w:r w:rsidR="003F72DC">
              <w:rPr>
                <w:rFonts w:ascii="Aptos" w:hAnsi="Aptos"/>
                <w:sz w:val="20"/>
              </w:rPr>
              <w:t>y walkways</w:t>
            </w:r>
            <w:r w:rsidR="00E3432A" w:rsidRPr="000601EA">
              <w:rPr>
                <w:rFonts w:ascii="Aptos" w:hAnsi="Aptos"/>
                <w:sz w:val="20"/>
              </w:rPr>
              <w:t xml:space="preserve"> </w:t>
            </w:r>
            <w:r w:rsidR="009254D6" w:rsidRPr="000601EA">
              <w:rPr>
                <w:rFonts w:ascii="Aptos" w:hAnsi="Aptos"/>
                <w:sz w:val="20"/>
              </w:rPr>
              <w:t xml:space="preserve">unless </w:t>
            </w:r>
            <w:r w:rsidR="009254D6" w:rsidRPr="000601EA">
              <w:rPr>
                <w:rFonts w:ascii="Aptos" w:hAnsi="Aptos"/>
                <w:color w:val="000000" w:themeColor="text1"/>
                <w:sz w:val="20"/>
              </w:rPr>
              <w:t>authoris</w:t>
            </w:r>
            <w:r w:rsidRPr="000601EA">
              <w:rPr>
                <w:rFonts w:ascii="Aptos" w:hAnsi="Aptos"/>
                <w:color w:val="000000" w:themeColor="text1"/>
                <w:sz w:val="20"/>
              </w:rPr>
              <w:t>ed</w:t>
            </w:r>
            <w:r w:rsidRPr="000601EA">
              <w:rPr>
                <w:rFonts w:ascii="Aptos" w:hAnsi="Aptos"/>
                <w:sz w:val="20"/>
              </w:rPr>
              <w:t xml:space="preserve"> to do so by a</w:t>
            </w:r>
            <w:r w:rsidR="00FB12BF" w:rsidRPr="000601EA">
              <w:rPr>
                <w:rFonts w:ascii="Aptos" w:hAnsi="Aptos"/>
                <w:sz w:val="20"/>
              </w:rPr>
              <w:t>n</w:t>
            </w:r>
            <w:r w:rsidRPr="000601EA">
              <w:rPr>
                <w:rFonts w:ascii="Aptos" w:hAnsi="Aptos"/>
                <w:sz w:val="20"/>
              </w:rPr>
              <w:t xml:space="preserve"> </w:t>
            </w:r>
            <w:r w:rsidR="003F72DC">
              <w:rPr>
                <w:rFonts w:ascii="Aptos" w:hAnsi="Aptos"/>
                <w:sz w:val="20"/>
              </w:rPr>
              <w:t>A</w:t>
            </w:r>
            <w:r w:rsidR="00221D4F" w:rsidRPr="000601EA">
              <w:rPr>
                <w:rFonts w:ascii="Aptos" w:hAnsi="Aptos"/>
                <w:sz w:val="20"/>
              </w:rPr>
              <w:t>uthorised</w:t>
            </w:r>
            <w:r w:rsidRPr="000601EA">
              <w:rPr>
                <w:rFonts w:ascii="Aptos" w:hAnsi="Aptos"/>
                <w:sz w:val="20"/>
              </w:rPr>
              <w:t xml:space="preserve"> </w:t>
            </w:r>
            <w:r w:rsidR="003F72DC">
              <w:rPr>
                <w:rFonts w:ascii="Aptos" w:hAnsi="Aptos"/>
                <w:sz w:val="20"/>
              </w:rPr>
              <w:t>P</w:t>
            </w:r>
            <w:r w:rsidRPr="000601EA">
              <w:rPr>
                <w:rFonts w:ascii="Aptos" w:hAnsi="Aptos"/>
                <w:sz w:val="20"/>
              </w:rPr>
              <w:t>erson.</w:t>
            </w:r>
            <w:r w:rsidR="00BC3F14" w:rsidRPr="000601EA">
              <w:rPr>
                <w:rFonts w:ascii="Aptos" w:hAnsi="Aptos"/>
                <w:sz w:val="20"/>
              </w:rPr>
              <w:t xml:space="preserve"> </w:t>
            </w:r>
            <w:r w:rsidR="00E3432A" w:rsidRPr="000601EA">
              <w:rPr>
                <w:rFonts w:ascii="Aptos" w:hAnsi="Aptos"/>
                <w:sz w:val="20"/>
              </w:rPr>
              <w:t>Once</w:t>
            </w:r>
            <w:r w:rsidR="00BC3F14" w:rsidRPr="000601EA">
              <w:rPr>
                <w:rFonts w:ascii="Aptos" w:hAnsi="Aptos"/>
                <w:sz w:val="20"/>
              </w:rPr>
              <w:t xml:space="preserve"> authoris</w:t>
            </w:r>
            <w:r w:rsidR="00E3432A" w:rsidRPr="000601EA">
              <w:rPr>
                <w:rFonts w:ascii="Aptos" w:hAnsi="Aptos"/>
                <w:sz w:val="20"/>
              </w:rPr>
              <w:t>ed</w:t>
            </w:r>
            <w:r w:rsidR="00BC3F14" w:rsidRPr="000601EA">
              <w:rPr>
                <w:rFonts w:ascii="Aptos" w:hAnsi="Aptos"/>
                <w:sz w:val="20"/>
              </w:rPr>
              <w:t xml:space="preserve">, all loose items must be left </w:t>
            </w:r>
            <w:r w:rsidR="00B7328F">
              <w:rPr>
                <w:rFonts w:ascii="Aptos" w:hAnsi="Aptos"/>
                <w:sz w:val="20"/>
              </w:rPr>
              <w:t>in the provided lockers</w:t>
            </w:r>
            <w:r w:rsidR="00C32E72" w:rsidRPr="000601EA">
              <w:rPr>
                <w:rFonts w:ascii="Aptos" w:hAnsi="Aptos"/>
                <w:sz w:val="20"/>
              </w:rPr>
              <w:t xml:space="preserve"> </w:t>
            </w:r>
            <w:r w:rsidR="00E3432A" w:rsidRPr="000601EA">
              <w:rPr>
                <w:rFonts w:ascii="Aptos" w:hAnsi="Aptos"/>
                <w:sz w:val="20"/>
              </w:rPr>
              <w:t>before entering the gantry area</w:t>
            </w:r>
            <w:r w:rsidR="00BC3F14" w:rsidRPr="000601EA">
              <w:rPr>
                <w:rFonts w:ascii="Aptos" w:hAnsi="Aptos"/>
                <w:sz w:val="20"/>
              </w:rPr>
              <w:t xml:space="preserve">. Hand tools </w:t>
            </w:r>
            <w:r w:rsidR="00E3432A" w:rsidRPr="000601EA">
              <w:rPr>
                <w:rFonts w:ascii="Aptos" w:hAnsi="Aptos"/>
                <w:sz w:val="20"/>
              </w:rPr>
              <w:t xml:space="preserve">should only be used if </w:t>
            </w:r>
            <w:r w:rsidR="00BF4B92" w:rsidRPr="000601EA">
              <w:rPr>
                <w:rFonts w:ascii="Aptos" w:hAnsi="Aptos"/>
                <w:sz w:val="20"/>
              </w:rPr>
              <w:t xml:space="preserve">required for the task </w:t>
            </w:r>
            <w:r w:rsidR="00ED384E" w:rsidRPr="000601EA">
              <w:rPr>
                <w:rFonts w:ascii="Aptos" w:hAnsi="Aptos"/>
                <w:sz w:val="20"/>
              </w:rPr>
              <w:t xml:space="preserve">and </w:t>
            </w:r>
            <w:r w:rsidR="00E3432A" w:rsidRPr="000601EA">
              <w:rPr>
                <w:rFonts w:ascii="Aptos" w:hAnsi="Aptos"/>
                <w:sz w:val="20"/>
              </w:rPr>
              <w:t xml:space="preserve">must </w:t>
            </w:r>
            <w:r w:rsidR="00C32E72" w:rsidRPr="000601EA">
              <w:rPr>
                <w:rFonts w:ascii="Aptos" w:hAnsi="Aptos"/>
                <w:sz w:val="20"/>
              </w:rPr>
              <w:t>be tethered.</w:t>
            </w:r>
          </w:p>
        </w:tc>
      </w:tr>
      <w:tr w:rsidR="00B7328F" w:rsidRPr="00E75A1D" w14:paraId="721FF6CB" w14:textId="77777777" w:rsidTr="0002322F">
        <w:trPr>
          <w:trHeight w:val="232"/>
        </w:trPr>
        <w:tc>
          <w:tcPr>
            <w:tcW w:w="574" w:type="dxa"/>
            <w:vMerge w:val="restart"/>
            <w:shd w:val="clear" w:color="auto" w:fill="BDD6EE" w:themeFill="accent1" w:themeFillTint="66"/>
          </w:tcPr>
          <w:p w14:paraId="2BC34BA1" w14:textId="77777777" w:rsidR="00B7328F" w:rsidRPr="005A24AD" w:rsidRDefault="00B7328F" w:rsidP="00B92DE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6.</w:t>
            </w:r>
          </w:p>
        </w:tc>
        <w:tc>
          <w:tcPr>
            <w:tcW w:w="9993" w:type="dxa"/>
            <w:gridSpan w:val="7"/>
            <w:shd w:val="clear" w:color="auto" w:fill="BDD6EE" w:themeFill="accent1" w:themeFillTint="66"/>
          </w:tcPr>
          <w:p w14:paraId="7E392A7D" w14:textId="77777777" w:rsidR="00B7328F" w:rsidRPr="006F5C31" w:rsidRDefault="00B7328F" w:rsidP="00B92DEC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b/>
                <w:color w:val="000000" w:themeColor="text1"/>
                <w:sz w:val="20"/>
                <w:szCs w:val="20"/>
              </w:rPr>
              <w:t>Authorised Person</w:t>
            </w:r>
            <w:r>
              <w:rPr>
                <w:rFonts w:ascii="Aptos" w:hAnsi="Aptos" w:cstheme="minorHAnsi"/>
                <w:b/>
                <w:color w:val="000000" w:themeColor="text1"/>
                <w:sz w:val="20"/>
                <w:szCs w:val="20"/>
              </w:rPr>
              <w:t xml:space="preserve"> – Grid Authoriser</w:t>
            </w:r>
          </w:p>
        </w:tc>
      </w:tr>
      <w:tr w:rsidR="00B7328F" w:rsidRPr="00E75A1D" w14:paraId="78B6622F" w14:textId="77777777" w:rsidTr="0002322F">
        <w:trPr>
          <w:trHeight w:val="166"/>
        </w:trPr>
        <w:tc>
          <w:tcPr>
            <w:tcW w:w="574" w:type="dxa"/>
            <w:vMerge/>
            <w:shd w:val="clear" w:color="auto" w:fill="BDD6EE" w:themeFill="accent1" w:themeFillTint="66"/>
          </w:tcPr>
          <w:p w14:paraId="4F4BAD7A" w14:textId="77777777" w:rsidR="00B7328F" w:rsidRPr="000D33D0" w:rsidRDefault="00B7328F" w:rsidP="00B92DE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93" w:type="dxa"/>
            <w:gridSpan w:val="3"/>
            <w:shd w:val="clear" w:color="auto" w:fill="BDD6EE" w:themeFill="accent1" w:themeFillTint="66"/>
          </w:tcPr>
          <w:p w14:paraId="254AF22B" w14:textId="77777777" w:rsidR="00B7328F" w:rsidRPr="006F5C31" w:rsidRDefault="00B7328F" w:rsidP="00B92DEC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1. Construction Manager </w:t>
            </w:r>
          </w:p>
        </w:tc>
        <w:tc>
          <w:tcPr>
            <w:tcW w:w="5200" w:type="dxa"/>
            <w:gridSpan w:val="4"/>
            <w:shd w:val="clear" w:color="auto" w:fill="BDD6EE" w:themeFill="accent1" w:themeFillTint="66"/>
          </w:tcPr>
          <w:p w14:paraId="47393516" w14:textId="355A243D" w:rsidR="00B7328F" w:rsidRPr="006F5C31" w:rsidRDefault="00B7328F" w:rsidP="00B92DEC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3. Resource Manager</w:t>
            </w:r>
          </w:p>
        </w:tc>
      </w:tr>
      <w:tr w:rsidR="00B7328F" w:rsidRPr="00E75A1D" w14:paraId="32C9CCDE" w14:textId="77777777" w:rsidTr="00B7328F">
        <w:trPr>
          <w:trHeight w:val="166"/>
        </w:trPr>
        <w:tc>
          <w:tcPr>
            <w:tcW w:w="574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07E19313" w14:textId="77777777" w:rsidR="00B7328F" w:rsidRPr="000D33D0" w:rsidRDefault="00B7328F" w:rsidP="00B92DE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93" w:type="dxa"/>
            <w:gridSpan w:val="3"/>
            <w:shd w:val="clear" w:color="auto" w:fill="BDD6EE" w:themeFill="accent1" w:themeFillTint="66"/>
          </w:tcPr>
          <w:p w14:paraId="73D3E5E3" w14:textId="364AE8EE" w:rsidR="00B7328F" w:rsidRPr="006F5C31" w:rsidRDefault="00B7328F" w:rsidP="00B92DEC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2. Lighting Manager</w:t>
            </w:r>
          </w:p>
        </w:tc>
        <w:tc>
          <w:tcPr>
            <w:tcW w:w="5200" w:type="dxa"/>
            <w:gridSpan w:val="4"/>
            <w:shd w:val="clear" w:color="auto" w:fill="BDD6EE" w:themeFill="accent1" w:themeFillTint="66"/>
          </w:tcPr>
          <w:p w14:paraId="23273931" w14:textId="5EA6F89C" w:rsidR="00B7328F" w:rsidRPr="006F5C31" w:rsidRDefault="00B7328F" w:rsidP="00B92DEC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Studio 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Manager</w:t>
            </w:r>
          </w:p>
        </w:tc>
      </w:tr>
      <w:tr w:rsidR="006839ED" w:rsidRPr="00E75A1D" w14:paraId="49D2662D" w14:textId="77777777" w:rsidTr="00FF225E">
        <w:trPr>
          <w:trHeight w:val="64"/>
        </w:trPr>
        <w:tc>
          <w:tcPr>
            <w:tcW w:w="574" w:type="dxa"/>
            <w:shd w:val="clear" w:color="auto" w:fill="BDD6EE" w:themeFill="accent1" w:themeFillTint="66"/>
          </w:tcPr>
          <w:p w14:paraId="77681D1E" w14:textId="77777777" w:rsidR="006839ED" w:rsidRPr="00F5565D" w:rsidRDefault="006839E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7032040D" w14:textId="0D009B79" w:rsidR="006839ED" w:rsidRPr="000601EA" w:rsidRDefault="00BF4B92" w:rsidP="000601EA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sz w:val="20"/>
                <w:szCs w:val="20"/>
              </w:rPr>
              <w:t>Floor beacons</w:t>
            </w:r>
            <w:r w:rsidR="006839ED" w:rsidRPr="000601EA">
              <w:rPr>
                <w:rFonts w:ascii="Aptos" w:hAnsi="Aptos"/>
                <w:sz w:val="20"/>
                <w:szCs w:val="20"/>
              </w:rPr>
              <w:t xml:space="preserve"> must be activated and checked </w:t>
            </w:r>
            <w:r w:rsidRPr="000601EA">
              <w:rPr>
                <w:rFonts w:ascii="Aptos" w:hAnsi="Aptos"/>
                <w:sz w:val="20"/>
                <w:szCs w:val="20"/>
              </w:rPr>
              <w:t xml:space="preserve">to be in working order </w:t>
            </w:r>
            <w:r w:rsidR="006839ED" w:rsidRPr="000601EA">
              <w:rPr>
                <w:rFonts w:ascii="Aptos" w:hAnsi="Aptos"/>
                <w:sz w:val="20"/>
                <w:szCs w:val="20"/>
              </w:rPr>
              <w:t xml:space="preserve">before entering the </w:t>
            </w:r>
            <w:r w:rsidR="00C32E72" w:rsidRPr="000601EA">
              <w:rPr>
                <w:rFonts w:ascii="Aptos" w:hAnsi="Aptos"/>
                <w:sz w:val="20"/>
                <w:szCs w:val="20"/>
              </w:rPr>
              <w:t>gantry walkways.</w:t>
            </w:r>
          </w:p>
        </w:tc>
      </w:tr>
      <w:tr w:rsidR="00E75A1D" w:rsidRPr="00E75A1D" w14:paraId="23B766C1" w14:textId="77777777" w:rsidTr="00FF225E">
        <w:trPr>
          <w:trHeight w:val="151"/>
        </w:trPr>
        <w:tc>
          <w:tcPr>
            <w:tcW w:w="574" w:type="dxa"/>
            <w:shd w:val="clear" w:color="auto" w:fill="BDD6EE" w:themeFill="accent1" w:themeFillTint="66"/>
          </w:tcPr>
          <w:p w14:paraId="59A797B3" w14:textId="3D641014" w:rsidR="00E75A1D" w:rsidRPr="00F5565D" w:rsidRDefault="00B82891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  <w:r w:rsidR="00E75A1D"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0D7384B9" w14:textId="6E3C5756" w:rsidR="00E75A1D" w:rsidRPr="000601EA" w:rsidRDefault="00BF4B92" w:rsidP="000601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/>
                <w:sz w:val="20"/>
                <w:szCs w:val="20"/>
              </w:rPr>
            </w:pPr>
            <w:r w:rsidRPr="000601EA">
              <w:rPr>
                <w:rFonts w:ascii="Aptos" w:hAnsi="Aptos"/>
                <w:sz w:val="20"/>
                <w:szCs w:val="20"/>
              </w:rPr>
              <w:t xml:space="preserve">The floor </w:t>
            </w:r>
            <w:r w:rsidR="00C32E72" w:rsidRPr="000601EA">
              <w:rPr>
                <w:rFonts w:ascii="Aptos" w:hAnsi="Aptos"/>
                <w:sz w:val="20"/>
                <w:szCs w:val="20"/>
              </w:rPr>
              <w:t xml:space="preserve">space </w:t>
            </w:r>
            <w:r w:rsidRPr="000601EA">
              <w:rPr>
                <w:rFonts w:ascii="Aptos" w:hAnsi="Aptos"/>
                <w:sz w:val="20"/>
                <w:szCs w:val="20"/>
              </w:rPr>
              <w:t xml:space="preserve">directly beneath the gantry-working </w:t>
            </w:r>
            <w:r w:rsidR="00C32E72" w:rsidRPr="000601EA">
              <w:rPr>
                <w:rFonts w:ascii="Aptos" w:hAnsi="Aptos"/>
                <w:sz w:val="20"/>
                <w:szCs w:val="20"/>
              </w:rPr>
              <w:t>area</w:t>
            </w:r>
            <w:r w:rsidR="00556CE7" w:rsidRPr="000601EA">
              <w:rPr>
                <w:rFonts w:ascii="Aptos" w:hAnsi="Aptos"/>
                <w:sz w:val="20"/>
                <w:szCs w:val="20"/>
              </w:rPr>
              <w:t xml:space="preserve"> </w:t>
            </w:r>
            <w:r w:rsidRPr="000601EA">
              <w:rPr>
                <w:rFonts w:ascii="Aptos" w:hAnsi="Aptos"/>
                <w:sz w:val="20"/>
                <w:szCs w:val="20"/>
              </w:rPr>
              <w:t xml:space="preserve">must </w:t>
            </w:r>
            <w:r w:rsidR="00556CE7" w:rsidRPr="000601EA">
              <w:rPr>
                <w:rFonts w:ascii="Aptos" w:hAnsi="Aptos"/>
                <w:sz w:val="20"/>
                <w:szCs w:val="20"/>
              </w:rPr>
              <w:t xml:space="preserve">be </w:t>
            </w:r>
            <w:r w:rsidRPr="000601EA">
              <w:rPr>
                <w:rFonts w:ascii="Aptos" w:hAnsi="Aptos"/>
                <w:sz w:val="20"/>
                <w:szCs w:val="20"/>
              </w:rPr>
              <w:t>marshalled by designated</w:t>
            </w:r>
            <w:r w:rsidR="007950CE" w:rsidRPr="000601EA">
              <w:rPr>
                <w:rFonts w:ascii="Aptos" w:hAnsi="Aptos"/>
                <w:sz w:val="20"/>
                <w:szCs w:val="20"/>
              </w:rPr>
              <w:t xml:space="preserve"> staff</w:t>
            </w:r>
            <w:r w:rsidRPr="000601EA">
              <w:rPr>
                <w:rFonts w:ascii="Aptos" w:hAnsi="Aptos"/>
                <w:sz w:val="20"/>
                <w:szCs w:val="20"/>
              </w:rPr>
              <w:t>/</w:t>
            </w:r>
            <w:r w:rsidR="00556CE7" w:rsidRPr="000601EA">
              <w:rPr>
                <w:rFonts w:ascii="Aptos" w:hAnsi="Aptos"/>
                <w:sz w:val="20"/>
                <w:szCs w:val="20"/>
              </w:rPr>
              <w:t>contractors</w:t>
            </w:r>
            <w:r w:rsidR="00FB12BF" w:rsidRPr="000601EA">
              <w:rPr>
                <w:rFonts w:ascii="Aptos" w:hAnsi="Aptos"/>
                <w:sz w:val="20"/>
                <w:szCs w:val="20"/>
              </w:rPr>
              <w:t xml:space="preserve">. </w:t>
            </w:r>
            <w:r w:rsidR="008851EE" w:rsidRPr="000601EA">
              <w:rPr>
                <w:rFonts w:ascii="Aptos" w:hAnsi="Aptos"/>
                <w:sz w:val="20"/>
                <w:szCs w:val="20"/>
              </w:rPr>
              <w:t>All other o</w:t>
            </w:r>
            <w:r w:rsidRPr="000601EA">
              <w:rPr>
                <w:rFonts w:ascii="Aptos" w:hAnsi="Aptos"/>
                <w:sz w:val="20"/>
                <w:szCs w:val="20"/>
              </w:rPr>
              <w:t xml:space="preserve">peratives </w:t>
            </w:r>
            <w:r w:rsidR="00C32E72" w:rsidRPr="000601EA">
              <w:rPr>
                <w:rFonts w:ascii="Aptos" w:hAnsi="Aptos"/>
                <w:sz w:val="20"/>
                <w:szCs w:val="20"/>
              </w:rPr>
              <w:t xml:space="preserve">at ground level </w:t>
            </w:r>
            <w:r w:rsidR="00556CE7" w:rsidRPr="000601EA">
              <w:rPr>
                <w:rFonts w:ascii="Aptos" w:hAnsi="Aptos" w:cs="Arial"/>
                <w:sz w:val="20"/>
                <w:szCs w:val="20"/>
              </w:rPr>
              <w:t xml:space="preserve">must be </w:t>
            </w:r>
            <w:r w:rsidRPr="000601EA">
              <w:rPr>
                <w:rFonts w:ascii="Aptos" w:hAnsi="Aptos" w:cs="Arial"/>
                <w:sz w:val="20"/>
                <w:szCs w:val="20"/>
              </w:rPr>
              <w:t xml:space="preserve">advised of the </w:t>
            </w:r>
            <w:r w:rsidR="00556CE7" w:rsidRPr="000601EA">
              <w:rPr>
                <w:rFonts w:ascii="Aptos" w:hAnsi="Aptos" w:cs="Arial"/>
                <w:sz w:val="20"/>
                <w:szCs w:val="20"/>
              </w:rPr>
              <w:t>grid activities</w:t>
            </w:r>
            <w:r w:rsidRPr="000601EA">
              <w:rPr>
                <w:rFonts w:ascii="Aptos" w:hAnsi="Aptos" w:cs="Arial"/>
                <w:sz w:val="20"/>
                <w:szCs w:val="20"/>
              </w:rPr>
              <w:t xml:space="preserve">, including sight of </w:t>
            </w:r>
            <w:r w:rsidR="00556CE7" w:rsidRPr="000601EA">
              <w:rPr>
                <w:rFonts w:ascii="Aptos" w:hAnsi="Aptos" w:cs="Arial"/>
                <w:sz w:val="20"/>
                <w:szCs w:val="20"/>
              </w:rPr>
              <w:t>the</w:t>
            </w:r>
            <w:r w:rsidR="00221D4F" w:rsidRPr="000601EA">
              <w:rPr>
                <w:rFonts w:ascii="Aptos" w:hAnsi="Aptos" w:cs="Arial"/>
                <w:sz w:val="20"/>
                <w:szCs w:val="20"/>
              </w:rPr>
              <w:t xml:space="preserve"> floor beacons</w:t>
            </w:r>
            <w:r w:rsidR="00FB12BF" w:rsidRPr="000601EA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  <w:tr w:rsidR="00E75A1D" w:rsidRPr="00E75A1D" w14:paraId="3BAD3771" w14:textId="77777777" w:rsidTr="00FF225E">
        <w:trPr>
          <w:trHeight w:val="144"/>
        </w:trPr>
        <w:tc>
          <w:tcPr>
            <w:tcW w:w="574" w:type="dxa"/>
            <w:shd w:val="clear" w:color="auto" w:fill="BDD6EE" w:themeFill="accent1" w:themeFillTint="66"/>
          </w:tcPr>
          <w:p w14:paraId="4DEDC0C5" w14:textId="4BC5955D" w:rsidR="00E75A1D" w:rsidRPr="00F5565D" w:rsidRDefault="00B82891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  <w:r w:rsidR="00E75A1D"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35092A6C" w14:textId="57F609DF" w:rsidR="00E75A1D" w:rsidRPr="000601EA" w:rsidRDefault="00C32E72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If any person is observed entering the workspace directly below the gantry working area, the operative </w:t>
            </w:r>
            <w:r w:rsidR="00C73453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(or ground level marshal</w:t>
            </w:r>
            <w:r w:rsidR="00C73453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="00C73453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must audibly alert the individual that they’ve entered a restricted area. Gantry work must stop immediately until the space below has been cleared.</w:t>
            </w:r>
          </w:p>
        </w:tc>
      </w:tr>
      <w:tr w:rsidR="00E75A1D" w:rsidRPr="00E75A1D" w14:paraId="7DAD74E8" w14:textId="77777777" w:rsidTr="00FF225E">
        <w:trPr>
          <w:trHeight w:val="151"/>
        </w:trPr>
        <w:tc>
          <w:tcPr>
            <w:tcW w:w="574" w:type="dxa"/>
            <w:shd w:val="clear" w:color="auto" w:fill="BDD6EE" w:themeFill="accent1" w:themeFillTint="66"/>
          </w:tcPr>
          <w:p w14:paraId="7D49B366" w14:textId="73F5E385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0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0F745A00" w14:textId="5B9E3D2E" w:rsidR="00E75A1D" w:rsidRPr="000601EA" w:rsidRDefault="00C32E72" w:rsidP="000601EA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It is prohibited to leave any equipment or materials unattended on the gantry walkways. All items must be securely rigged to the correct loading/hanging points to eliminate any risk of items falling from the gantry.  </w:t>
            </w:r>
          </w:p>
        </w:tc>
      </w:tr>
      <w:tr w:rsidR="00691BC8" w:rsidRPr="00E75A1D" w14:paraId="44CE10C1" w14:textId="77777777" w:rsidTr="00FF225E">
        <w:trPr>
          <w:trHeight w:val="242"/>
        </w:trPr>
        <w:tc>
          <w:tcPr>
            <w:tcW w:w="574" w:type="dxa"/>
            <w:shd w:val="clear" w:color="auto" w:fill="BDD6EE" w:themeFill="accent1" w:themeFillTint="66"/>
          </w:tcPr>
          <w:p w14:paraId="026AF05B" w14:textId="4B4AEE7A" w:rsidR="00691BC8" w:rsidRPr="00F5565D" w:rsidRDefault="00691BC8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5B938123" w14:textId="49CB1635" w:rsidR="00691BC8" w:rsidRPr="000601EA" w:rsidRDefault="00C32E72" w:rsidP="000601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rial"/>
                <w:color w:val="FFFFFF"/>
                <w:sz w:val="20"/>
                <w:szCs w:val="20"/>
              </w:rPr>
            </w:pPr>
            <w:r w:rsidRPr="000601EA">
              <w:rPr>
                <w:rFonts w:ascii="Aptos" w:hAnsi="Aptos" w:cs="Arial"/>
                <w:sz w:val="20"/>
                <w:szCs w:val="20"/>
              </w:rPr>
              <w:t xml:space="preserve">A detailed handover must be given to the </w:t>
            </w:r>
            <w:r w:rsidR="000601EA">
              <w:rPr>
                <w:rFonts w:ascii="Aptos" w:hAnsi="Aptos" w:cs="Arial"/>
                <w:sz w:val="20"/>
                <w:szCs w:val="20"/>
              </w:rPr>
              <w:t>A</w:t>
            </w:r>
            <w:r w:rsidRPr="000601EA">
              <w:rPr>
                <w:rFonts w:ascii="Aptos" w:hAnsi="Aptos" w:cs="Arial"/>
                <w:sz w:val="20"/>
                <w:szCs w:val="20"/>
              </w:rPr>
              <w:t xml:space="preserve">uthorised </w:t>
            </w:r>
            <w:r w:rsidR="003F72DC">
              <w:rPr>
                <w:rFonts w:ascii="Aptos" w:hAnsi="Aptos" w:cs="Arial"/>
                <w:sz w:val="20"/>
                <w:szCs w:val="20"/>
              </w:rPr>
              <w:t>P</w:t>
            </w:r>
            <w:r w:rsidRPr="000601EA">
              <w:rPr>
                <w:rFonts w:ascii="Aptos" w:hAnsi="Aptos" w:cs="Arial"/>
                <w:sz w:val="20"/>
                <w:szCs w:val="20"/>
              </w:rPr>
              <w:t>erson if works in the gantry are incomplete at the end of a shift.</w:t>
            </w:r>
          </w:p>
        </w:tc>
      </w:tr>
      <w:tr w:rsidR="00E75A1D" w:rsidRPr="00E75A1D" w14:paraId="0DBAAD6A" w14:textId="77777777" w:rsidTr="00FF225E">
        <w:trPr>
          <w:trHeight w:val="196"/>
        </w:trPr>
        <w:tc>
          <w:tcPr>
            <w:tcW w:w="574" w:type="dxa"/>
            <w:shd w:val="clear" w:color="auto" w:fill="BDD6EE" w:themeFill="accent1" w:themeFillTint="66"/>
          </w:tcPr>
          <w:p w14:paraId="3065A251" w14:textId="4679AEA2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4610CDF9" w14:textId="4FAEBDD9" w:rsidR="00E75A1D" w:rsidRPr="000601EA" w:rsidRDefault="00DB752D" w:rsidP="000601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Ensure </w:t>
            </w:r>
            <w:r w:rsidR="00FB12BF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familiarity </w:t>
            </w:r>
            <w:r w:rsidR="00691BC8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with the contents of 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generic and production-specific </w:t>
            </w:r>
            <w:r w:rsidR="00691BC8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Risk Assessments and Method Statements (RAMS)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F70804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in advance of commencing 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gantry </w:t>
            </w:r>
            <w:r w:rsidR="00F70804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work.  Th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>is</w:t>
            </w:r>
            <w:r w:rsidR="00F70804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38792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induction sheet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must be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understood, and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signed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dated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, 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before commencing 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ceiling 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g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antry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activity.</w:t>
            </w:r>
          </w:p>
        </w:tc>
      </w:tr>
      <w:tr w:rsidR="00E75A1D" w:rsidRPr="00E75A1D" w14:paraId="4F481775" w14:textId="77777777" w:rsidTr="00FF225E">
        <w:trPr>
          <w:trHeight w:val="151"/>
        </w:trPr>
        <w:tc>
          <w:tcPr>
            <w:tcW w:w="574" w:type="dxa"/>
            <w:shd w:val="clear" w:color="auto" w:fill="BDD6EE" w:themeFill="accent1" w:themeFillTint="66"/>
          </w:tcPr>
          <w:p w14:paraId="4D9B7AD2" w14:textId="7538CEEE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60C3B6C9" w14:textId="509F6C11" w:rsidR="00E75A1D" w:rsidRPr="000601EA" w:rsidRDefault="00B3066C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C</w:t>
            </w:r>
            <w:r w:rsidR="00691BC8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opies of relevant competency certification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should be provided</w:t>
            </w:r>
            <w:r w:rsidR="00691BC8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to the </w:t>
            </w:r>
            <w:r w:rsidR="000601EA">
              <w:rPr>
                <w:rFonts w:ascii="Aptos" w:hAnsi="Aptos"/>
                <w:color w:val="000000" w:themeColor="text1"/>
                <w:sz w:val="20"/>
                <w:szCs w:val="20"/>
              </w:rPr>
              <w:t>A</w:t>
            </w:r>
            <w:r w:rsidR="00FB12BF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uthorised 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="00691BC8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erson together with a signed copy of 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the </w:t>
            </w:r>
            <w:r w:rsidR="00DB752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Risk Assessment and Method Statements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(RAMS)</w:t>
            </w:r>
            <w:r w:rsidR="002C637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on request.</w:t>
            </w:r>
          </w:p>
        </w:tc>
      </w:tr>
      <w:tr w:rsidR="00E75A1D" w:rsidRPr="00E75A1D" w14:paraId="76280F84" w14:textId="77777777" w:rsidTr="00FF225E">
        <w:trPr>
          <w:trHeight w:val="136"/>
        </w:trPr>
        <w:tc>
          <w:tcPr>
            <w:tcW w:w="574" w:type="dxa"/>
            <w:shd w:val="clear" w:color="auto" w:fill="BDD6EE" w:themeFill="accent1" w:themeFillTint="66"/>
          </w:tcPr>
          <w:p w14:paraId="1BB8C690" w14:textId="5F24BDEC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1AA63ABC" w14:textId="058BD239" w:rsidR="00E75A1D" w:rsidRPr="000601EA" w:rsidRDefault="00D0264B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A Hot Work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s Permit is required </w:t>
            </w:r>
            <w:r w:rsidR="00DB752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from 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the </w:t>
            </w:r>
            <w:r w:rsidR="00DB752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Elstree Studios Facilities</w:t>
            </w:r>
            <w:r w:rsidR="00BE4298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Manager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>for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any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BF4B9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w</w:t>
            </w:r>
            <w:r w:rsidR="00F95E1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elding, </w:t>
            </w:r>
            <w:r w:rsidR="00FF14C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powered c</w:t>
            </w:r>
            <w:r w:rsidR="00F95E1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utting, </w:t>
            </w:r>
            <w:r w:rsidR="00FF14C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b</w:t>
            </w:r>
            <w:r w:rsidR="00F95E1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urning, </w:t>
            </w:r>
            <w:r w:rsidR="00FF14C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g</w:t>
            </w:r>
            <w:r w:rsidR="00F95E1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rinding or </w:t>
            </w:r>
            <w:r w:rsidR="00FF14C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  <w:r w:rsidR="00F95E1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oldering</w:t>
            </w:r>
            <w:r w:rsidR="00FF14C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activities</w:t>
            </w:r>
            <w:r w:rsidR="00F95E1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This should be organised through the Resource Manager in advance.</w:t>
            </w:r>
          </w:p>
        </w:tc>
      </w:tr>
      <w:tr w:rsidR="00E75A1D" w:rsidRPr="00E75A1D" w14:paraId="0564E4EA" w14:textId="77777777" w:rsidTr="00FF225E">
        <w:trPr>
          <w:trHeight w:val="118"/>
        </w:trPr>
        <w:tc>
          <w:tcPr>
            <w:tcW w:w="574" w:type="dxa"/>
            <w:shd w:val="clear" w:color="auto" w:fill="BDD6EE" w:themeFill="accent1" w:themeFillTint="66"/>
          </w:tcPr>
          <w:p w14:paraId="79E83742" w14:textId="7C34C1EC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5C9CC600" w14:textId="24AB7551" w:rsidR="00E75A1D" w:rsidRPr="000601EA" w:rsidRDefault="00FF14C0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All accidents or</w:t>
            </w:r>
            <w:r w:rsidR="0043744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near miss incidents 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should be reported to the</w:t>
            </w:r>
            <w:r w:rsidR="0043744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>A</w:t>
            </w:r>
            <w:r w:rsidR="0043744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uthorised </w:t>
            </w:r>
            <w:r w:rsidR="003F72DC"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="0043744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erson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or documented on the relevant Studioworks Incident Report (this applies to staff and contractors).</w:t>
            </w:r>
          </w:p>
        </w:tc>
      </w:tr>
      <w:tr w:rsidR="00E75A1D" w:rsidRPr="00E75A1D" w14:paraId="7723A978" w14:textId="77777777" w:rsidTr="00FF225E">
        <w:trPr>
          <w:trHeight w:val="118"/>
        </w:trPr>
        <w:tc>
          <w:tcPr>
            <w:tcW w:w="574" w:type="dxa"/>
            <w:shd w:val="clear" w:color="auto" w:fill="BDD6EE" w:themeFill="accent1" w:themeFillTint="66"/>
          </w:tcPr>
          <w:p w14:paraId="0AAEA29A" w14:textId="1F178AC5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68A0AD42" w14:textId="1A16370D" w:rsidR="00E75A1D" w:rsidRPr="000601EA" w:rsidRDefault="00C65870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All scaffolding rigging/derigging activities must be co</w:t>
            </w:r>
            <w:r w:rsidR="008851E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mpleted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to NASC safety guidance standards.</w:t>
            </w:r>
          </w:p>
        </w:tc>
      </w:tr>
      <w:tr w:rsidR="00E75A1D" w:rsidRPr="00E75A1D" w14:paraId="4732580B" w14:textId="77777777" w:rsidTr="00FF225E">
        <w:trPr>
          <w:trHeight w:val="87"/>
        </w:trPr>
        <w:tc>
          <w:tcPr>
            <w:tcW w:w="574" w:type="dxa"/>
            <w:shd w:val="clear" w:color="auto" w:fill="BDD6EE" w:themeFill="accent1" w:themeFillTint="66"/>
          </w:tcPr>
          <w:p w14:paraId="2E296166" w14:textId="7F609958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048A42D3" w14:textId="6E2853A0" w:rsidR="00E75A1D" w:rsidRPr="000601EA" w:rsidRDefault="00FF14C0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All rigger work must be completed to NRC standard</w:t>
            </w:r>
            <w:r w:rsidR="00C6587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  <w:r w:rsidR="000601EA"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 </w:t>
            </w:r>
            <w:r w:rsidR="000601EA">
              <w:rPr>
                <w:rFonts w:ascii="Aptos" w:hAnsi="Aptos"/>
                <w:color w:val="000000" w:themeColor="text1"/>
                <w:sz w:val="20"/>
                <w:szCs w:val="20"/>
              </w:rPr>
              <w:t>tasks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undertaken by qualified and competent operatives only.</w:t>
            </w:r>
          </w:p>
        </w:tc>
      </w:tr>
      <w:tr w:rsidR="00E75A1D" w:rsidRPr="00E75A1D" w14:paraId="5D3B507C" w14:textId="77777777" w:rsidTr="00FF225E">
        <w:trPr>
          <w:trHeight w:val="542"/>
        </w:trPr>
        <w:tc>
          <w:tcPr>
            <w:tcW w:w="574" w:type="dxa"/>
            <w:shd w:val="clear" w:color="auto" w:fill="BDD6EE" w:themeFill="accent1" w:themeFillTint="66"/>
          </w:tcPr>
          <w:p w14:paraId="71686B18" w14:textId="5DE02C3B" w:rsidR="00E75A1D" w:rsidRPr="00F5565D" w:rsidRDefault="00B82891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4DE17466" w14:textId="21B75DAB" w:rsidR="00E75A1D" w:rsidRPr="000601EA" w:rsidRDefault="000601EA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Only l</w:t>
            </w:r>
            <w:r w:rsidR="00ED384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icensed/trained 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operators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are permitted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to</w:t>
            </w:r>
            <w:r w:rsidR="00DB752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use motorised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plant or </w:t>
            </w:r>
            <w:r w:rsidR="00425BB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vehicles</w:t>
            </w:r>
            <w:r w:rsidR="00DB752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DE278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Visual 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inspections of all powered access plant</w:t>
            </w:r>
            <w:r w:rsidR="00DE278B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should be carried out </w:t>
            </w:r>
            <w:r w:rsidR="00ED384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before use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. 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In the event of a f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uel </w:t>
            </w:r>
            <w:r w:rsidR="00C32E72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or o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il spill</w:t>
            </w:r>
            <w:r w:rsidR="008851E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, the area must be cordoned immediately and made safe.</w:t>
            </w:r>
          </w:p>
        </w:tc>
      </w:tr>
      <w:tr w:rsidR="00E75A1D" w:rsidRPr="00E75A1D" w14:paraId="489FA007" w14:textId="77777777" w:rsidTr="00FF225E">
        <w:trPr>
          <w:trHeight w:val="251"/>
        </w:trPr>
        <w:tc>
          <w:tcPr>
            <w:tcW w:w="574" w:type="dxa"/>
            <w:shd w:val="clear" w:color="auto" w:fill="BDD6EE" w:themeFill="accent1" w:themeFillTint="66"/>
          </w:tcPr>
          <w:p w14:paraId="478B804F" w14:textId="43D6F11A" w:rsidR="00E75A1D" w:rsidRPr="00F5565D" w:rsidRDefault="00B82891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  <w:r w:rsidR="00E75A1D"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4DC639AE" w14:textId="15D0AA8A" w:rsidR="00E75A1D" w:rsidRPr="000601EA" w:rsidRDefault="00E75A1D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Hand-power tools</w:t>
            </w:r>
            <w:r w:rsidR="0022655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C6587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must be safe and </w:t>
            </w:r>
            <w:r w:rsidR="008851E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suitable,</w:t>
            </w:r>
            <w:r w:rsidR="00C6587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 </w:t>
            </w:r>
            <w:r w:rsidR="0022655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inspected </w:t>
            </w:r>
            <w:r w:rsidR="00ED384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before use</w:t>
            </w:r>
            <w:r w:rsidR="00C6587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</w:t>
            </w:r>
            <w:r w:rsidR="0022655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110v </w:t>
            </w:r>
            <w:r w:rsidR="00C65870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only)</w:t>
            </w:r>
            <w:r w:rsidR="0022655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</w:tc>
      </w:tr>
      <w:tr w:rsidR="00E75A1D" w:rsidRPr="00E75A1D" w14:paraId="4B901861" w14:textId="77777777" w:rsidTr="00FF225E">
        <w:trPr>
          <w:trHeight w:val="118"/>
        </w:trPr>
        <w:tc>
          <w:tcPr>
            <w:tcW w:w="574" w:type="dxa"/>
            <w:shd w:val="clear" w:color="auto" w:fill="BDD6EE" w:themeFill="accent1" w:themeFillTint="66"/>
          </w:tcPr>
          <w:p w14:paraId="2ECB01E3" w14:textId="2E17EB20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0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3D143709" w14:textId="77777777" w:rsidR="00E75A1D" w:rsidRPr="000601EA" w:rsidRDefault="007950CE" w:rsidP="000601EA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  <w:r w:rsidR="00E75A1D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caffolds/mobile towers</w:t>
            </w:r>
            <w:r w:rsidR="0022655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to be erected </w:t>
            </w:r>
            <w:r w:rsidR="00821673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to</w:t>
            </w:r>
            <w:r w:rsidR="0022655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B3066C" w:rsidRPr="000601EA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 xml:space="preserve">SG4:10 </w:t>
            </w:r>
            <w:r w:rsidR="004A50E3" w:rsidRPr="000601EA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 xml:space="preserve">Guidance </w:t>
            </w:r>
            <w:r w:rsidR="00B3066C" w:rsidRPr="000601EA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- Preventing Falls from Scaffolding.</w:t>
            </w:r>
          </w:p>
        </w:tc>
      </w:tr>
      <w:tr w:rsidR="00E75A1D" w:rsidRPr="00E75A1D" w14:paraId="08A5276C" w14:textId="77777777" w:rsidTr="00FF225E">
        <w:trPr>
          <w:trHeight w:val="330"/>
        </w:trPr>
        <w:tc>
          <w:tcPr>
            <w:tcW w:w="574" w:type="dxa"/>
            <w:shd w:val="clear" w:color="auto" w:fill="BDD6EE" w:themeFill="accent1" w:themeFillTint="66"/>
          </w:tcPr>
          <w:p w14:paraId="72041F58" w14:textId="3BBF6CC0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23337891" w14:textId="012B281C" w:rsidR="00C26B66" w:rsidRPr="000601EA" w:rsidRDefault="00C65870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Gantry walkways must be kept clean and tidy</w:t>
            </w:r>
            <w:r w:rsidR="008851EE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 all</w:t>
            </w:r>
            <w:r w:rsidR="00C26B66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waste disposed </w:t>
            </w:r>
            <w:r w:rsidR="00B8289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when 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works</w:t>
            </w:r>
            <w:r w:rsidR="00B82891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are complete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</w:tc>
      </w:tr>
      <w:tr w:rsidR="00E75A1D" w:rsidRPr="00E75A1D" w14:paraId="0CB4EC65" w14:textId="77777777" w:rsidTr="00FF225E">
        <w:trPr>
          <w:trHeight w:val="321"/>
        </w:trPr>
        <w:tc>
          <w:tcPr>
            <w:tcW w:w="574" w:type="dxa"/>
            <w:shd w:val="clear" w:color="auto" w:fill="BDD6EE" w:themeFill="accent1" w:themeFillTint="66"/>
          </w:tcPr>
          <w:p w14:paraId="42E61E6B" w14:textId="75D00DF1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B82891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9993" w:type="dxa"/>
            <w:gridSpan w:val="7"/>
            <w:shd w:val="clear" w:color="auto" w:fill="FFFFFF" w:themeFill="background1"/>
          </w:tcPr>
          <w:p w14:paraId="1129D3F4" w14:textId="6592FB04" w:rsidR="00E75A1D" w:rsidRPr="000601EA" w:rsidRDefault="00E75A1D" w:rsidP="000601EA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Emergency Equipment</w:t>
            </w:r>
            <w:r w:rsid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: </w:t>
            </w:r>
            <w:r w:rsidR="00821673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First aid kit</w:t>
            </w:r>
            <w:r w:rsidR="009254D6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, defibrillator and eye wash are</w:t>
            </w:r>
            <w:r w:rsidR="00556CE7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available </w:t>
            </w:r>
            <w:r w:rsidR="00CB41FC"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as detailed in the Contractor Site Induction briefing.</w:t>
            </w:r>
          </w:p>
        </w:tc>
      </w:tr>
      <w:tr w:rsidR="00E75A1D" w:rsidRPr="00E75A1D" w14:paraId="35855592" w14:textId="77777777" w:rsidTr="00FF225E">
        <w:trPr>
          <w:trHeight w:val="136"/>
        </w:trPr>
        <w:tc>
          <w:tcPr>
            <w:tcW w:w="10567" w:type="dxa"/>
            <w:gridSpan w:val="8"/>
            <w:shd w:val="clear" w:color="auto" w:fill="BDD6EE" w:themeFill="accent1" w:themeFillTint="66"/>
          </w:tcPr>
          <w:p w14:paraId="13DD8D60" w14:textId="0630BA05" w:rsidR="00E75A1D" w:rsidRPr="000601EA" w:rsidRDefault="00E75A1D" w:rsidP="00C73453">
            <w:pPr>
              <w:tabs>
                <w:tab w:val="left" w:pos="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601EA">
              <w:rPr>
                <w:rFonts w:ascii="Aptos" w:hAnsi="Aptos"/>
                <w:b/>
                <w:sz w:val="20"/>
                <w:szCs w:val="20"/>
              </w:rPr>
              <w:t>I have read and understo</w:t>
            </w:r>
            <w:r w:rsidR="008851EE" w:rsidRPr="000601EA">
              <w:rPr>
                <w:rFonts w:ascii="Aptos" w:hAnsi="Aptos"/>
                <w:b/>
                <w:sz w:val="20"/>
                <w:szCs w:val="20"/>
              </w:rPr>
              <w:t>od</w:t>
            </w:r>
            <w:r w:rsidRPr="000601EA">
              <w:rPr>
                <w:rFonts w:ascii="Aptos" w:hAnsi="Aptos"/>
                <w:b/>
                <w:sz w:val="20"/>
                <w:szCs w:val="20"/>
              </w:rPr>
              <w:t xml:space="preserve"> the above</w:t>
            </w:r>
            <w:r w:rsidR="008851EE" w:rsidRPr="000601EA">
              <w:rPr>
                <w:rFonts w:ascii="Aptos" w:hAnsi="Aptos"/>
                <w:b/>
                <w:sz w:val="20"/>
                <w:szCs w:val="20"/>
              </w:rPr>
              <w:t xml:space="preserve"> instructions</w:t>
            </w:r>
            <w:r w:rsidRPr="000601EA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</w:tr>
      <w:tr w:rsidR="00E75A1D" w:rsidRPr="00E75A1D" w14:paraId="51BDD69C" w14:textId="77777777" w:rsidTr="00B7328F">
        <w:trPr>
          <w:trHeight w:val="532"/>
        </w:trPr>
        <w:tc>
          <w:tcPr>
            <w:tcW w:w="1558" w:type="dxa"/>
            <w:gridSpan w:val="2"/>
            <w:shd w:val="clear" w:color="auto" w:fill="BDD6EE" w:themeFill="accent1" w:themeFillTint="66"/>
          </w:tcPr>
          <w:p w14:paraId="573096A2" w14:textId="77777777" w:rsidR="00E75A1D" w:rsidRPr="00C73453" w:rsidRDefault="00E75A1D" w:rsidP="0059513D">
            <w:pPr>
              <w:spacing w:after="0" w:line="360" w:lineRule="auto"/>
              <w:contextualSpacing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00C73453">
              <w:rPr>
                <w:rFonts w:ascii="Aptos" w:hAnsi="Aptos"/>
                <w:b/>
                <w:bCs/>
                <w:color w:val="000000" w:themeColor="text1"/>
              </w:rPr>
              <w:t>Signature:</w:t>
            </w:r>
          </w:p>
        </w:tc>
        <w:tc>
          <w:tcPr>
            <w:tcW w:w="2537" w:type="dxa"/>
            <w:shd w:val="clear" w:color="auto" w:fill="FFFFFF" w:themeFill="background1"/>
          </w:tcPr>
          <w:p w14:paraId="7E0FA176" w14:textId="77777777" w:rsidR="000D33D0" w:rsidRPr="00C73453" w:rsidRDefault="000D33D0" w:rsidP="0059513D">
            <w:pPr>
              <w:spacing w:after="0" w:line="360" w:lineRule="auto"/>
              <w:contextualSpacing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469" w:type="dxa"/>
            <w:gridSpan w:val="2"/>
            <w:shd w:val="clear" w:color="auto" w:fill="BDD6EE" w:themeFill="accent1" w:themeFillTint="66"/>
          </w:tcPr>
          <w:p w14:paraId="38B21930" w14:textId="77777777" w:rsidR="00E75A1D" w:rsidRPr="00C73453" w:rsidRDefault="00E75A1D" w:rsidP="0059513D">
            <w:pPr>
              <w:spacing w:after="0" w:line="360" w:lineRule="auto"/>
              <w:contextualSpacing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00C73453">
              <w:rPr>
                <w:rFonts w:ascii="Aptos" w:hAnsi="Aptos"/>
                <w:b/>
                <w:bCs/>
                <w:color w:val="000000" w:themeColor="text1"/>
              </w:rPr>
              <w:t>Print Name:</w:t>
            </w:r>
          </w:p>
        </w:tc>
        <w:tc>
          <w:tcPr>
            <w:tcW w:w="2759" w:type="dxa"/>
            <w:shd w:val="clear" w:color="auto" w:fill="FFFFFF" w:themeFill="background1"/>
          </w:tcPr>
          <w:p w14:paraId="237D20E1" w14:textId="77777777" w:rsidR="00E75A1D" w:rsidRPr="00C73453" w:rsidRDefault="00E75A1D" w:rsidP="0059513D">
            <w:pPr>
              <w:spacing w:after="0" w:line="360" w:lineRule="auto"/>
              <w:contextualSpacing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760" w:type="dxa"/>
            <w:shd w:val="clear" w:color="auto" w:fill="BDD6EE" w:themeFill="accent1" w:themeFillTint="66"/>
          </w:tcPr>
          <w:p w14:paraId="1263146F" w14:textId="77777777" w:rsidR="00E75A1D" w:rsidRPr="00C73453" w:rsidRDefault="00E75A1D" w:rsidP="0059513D">
            <w:pPr>
              <w:spacing w:after="0" w:line="360" w:lineRule="auto"/>
              <w:contextualSpacing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00C73453">
              <w:rPr>
                <w:rFonts w:ascii="Aptos" w:hAnsi="Aptos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484" w:type="dxa"/>
          </w:tcPr>
          <w:p w14:paraId="7E139EBE" w14:textId="77777777" w:rsidR="00E75A1D" w:rsidRPr="000601EA" w:rsidRDefault="00E75A1D" w:rsidP="0059513D">
            <w:pPr>
              <w:spacing w:after="0" w:line="360" w:lineRule="auto"/>
              <w:ind w:left="33"/>
              <w:contextualSpacing/>
              <w:jc w:val="center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500E0" w:rsidRPr="00E75A1D" w14:paraId="1B85FFA5" w14:textId="77777777" w:rsidTr="003E2904">
        <w:trPr>
          <w:trHeight w:val="354"/>
        </w:trPr>
        <w:tc>
          <w:tcPr>
            <w:tcW w:w="1558" w:type="dxa"/>
            <w:gridSpan w:val="2"/>
            <w:shd w:val="clear" w:color="auto" w:fill="BDD6EE" w:themeFill="accent1" w:themeFillTint="66"/>
          </w:tcPr>
          <w:p w14:paraId="3B7D6576" w14:textId="5BCE530C" w:rsidR="006500E0" w:rsidRPr="006500E0" w:rsidRDefault="006500E0" w:rsidP="00C73453">
            <w:pPr>
              <w:tabs>
                <w:tab w:val="left" w:pos="3690"/>
              </w:tabs>
              <w:spacing w:after="0" w:line="360" w:lineRule="auto"/>
              <w:ind w:left="33"/>
              <w:contextualSpacing/>
              <w:jc w:val="center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6500E0">
              <w:rPr>
                <w:rFonts w:ascii="Aptos" w:hAnsi="Aptos"/>
                <w:b/>
                <w:bCs/>
                <w:color w:val="000000" w:themeColor="text1"/>
              </w:rPr>
              <w:t>Inducted by:</w:t>
            </w:r>
          </w:p>
        </w:tc>
        <w:tc>
          <w:tcPr>
            <w:tcW w:w="2537" w:type="dxa"/>
            <w:shd w:val="clear" w:color="auto" w:fill="auto"/>
          </w:tcPr>
          <w:p w14:paraId="54AA34FC" w14:textId="77777777" w:rsidR="006500E0" w:rsidRPr="000601EA" w:rsidRDefault="006500E0" w:rsidP="00C73453">
            <w:pPr>
              <w:tabs>
                <w:tab w:val="left" w:pos="3690"/>
              </w:tabs>
              <w:spacing w:after="0" w:line="360" w:lineRule="auto"/>
              <w:ind w:left="33"/>
              <w:contextualSpacing/>
              <w:jc w:val="center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6472" w:type="dxa"/>
            <w:gridSpan w:val="5"/>
            <w:shd w:val="clear" w:color="auto" w:fill="BDD6EE" w:themeFill="accent1" w:themeFillTint="66"/>
          </w:tcPr>
          <w:p w14:paraId="02B2AC3B" w14:textId="306E0BC4" w:rsidR="006500E0" w:rsidRPr="000601EA" w:rsidRDefault="006500E0" w:rsidP="00C73453">
            <w:pPr>
              <w:tabs>
                <w:tab w:val="left" w:pos="3690"/>
              </w:tabs>
              <w:spacing w:after="0" w:line="360" w:lineRule="auto"/>
              <w:ind w:left="33"/>
              <w:contextualSpacing/>
              <w:jc w:val="center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7ADEF49D" w14:textId="04839370" w:rsidR="003F7238" w:rsidRPr="003F7238" w:rsidRDefault="00C661DC" w:rsidP="00C661DC">
      <w:pPr>
        <w:tabs>
          <w:tab w:val="left" w:pos="27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sectPr w:rsidR="003F7238" w:rsidRPr="003F7238" w:rsidSect="00E5180C">
      <w:footerReference w:type="default" r:id="rId9"/>
      <w:pgSz w:w="11906" w:h="16838"/>
      <w:pgMar w:top="720" w:right="720" w:bottom="720" w:left="72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C5EC" w14:textId="77777777" w:rsidR="005551B0" w:rsidRDefault="005551B0" w:rsidP="00E5180C">
      <w:pPr>
        <w:spacing w:after="0" w:line="240" w:lineRule="auto"/>
      </w:pPr>
      <w:r>
        <w:separator/>
      </w:r>
    </w:p>
  </w:endnote>
  <w:endnote w:type="continuationSeparator" w:id="0">
    <w:p w14:paraId="5D5476BA" w14:textId="77777777" w:rsidR="005551B0" w:rsidRDefault="005551B0" w:rsidP="00E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F908" w14:textId="28822E10" w:rsidR="00E5180C" w:rsidRPr="001C071A" w:rsidRDefault="00C661DC" w:rsidP="00E5180C">
    <w:pPr>
      <w:pStyle w:val="Footer"/>
      <w:jc w:val="center"/>
      <w:rPr>
        <w:rFonts w:ascii="Century Gothic" w:hAnsi="Century Gothic"/>
        <w:sz w:val="20"/>
      </w:rPr>
    </w:pPr>
    <w:r>
      <w:rPr>
        <w:rFonts w:ascii="Century Gothic" w:hAnsi="Century Gothic"/>
        <w:sz w:val="20"/>
        <w:szCs w:val="20"/>
      </w:rPr>
      <w:t>CEILING GANTRY WALKWAY</w:t>
    </w:r>
    <w:r w:rsidR="00C73453">
      <w:rPr>
        <w:rFonts w:ascii="Century Gothic" w:hAnsi="Century Gothic"/>
        <w:sz w:val="20"/>
        <w:szCs w:val="20"/>
      </w:rPr>
      <w:t xml:space="preserve"> INDUCTION </w:t>
    </w:r>
    <w:r w:rsidR="00B7328F">
      <w:rPr>
        <w:rFonts w:ascii="Century Gothic" w:hAnsi="Century Gothic"/>
        <w:sz w:val="20"/>
        <w:szCs w:val="20"/>
      </w:rPr>
      <w:t>KH</w:t>
    </w:r>
    <w:r w:rsidR="00C73453">
      <w:rPr>
        <w:rFonts w:ascii="Century Gothic" w:hAnsi="Century Gothic"/>
        <w:sz w:val="20"/>
        <w:szCs w:val="20"/>
      </w:rPr>
      <w:t xml:space="preserve"> v2.</w:t>
    </w:r>
    <w:r w:rsidR="00B7328F">
      <w:rPr>
        <w:rFonts w:ascii="Century Gothic" w:hAnsi="Century Gothic"/>
        <w:sz w:val="20"/>
        <w:szCs w:val="20"/>
      </w:rPr>
      <w:t>0</w:t>
    </w:r>
    <w:r w:rsidR="00C73453">
      <w:rPr>
        <w:rFonts w:ascii="Century Gothic" w:hAnsi="Century Gothic"/>
        <w:sz w:val="20"/>
        <w:szCs w:val="20"/>
      </w:rPr>
      <w:t xml:space="preserve">                                Last Reviewed J</w:t>
    </w:r>
    <w:r w:rsidR="00B7328F">
      <w:rPr>
        <w:rFonts w:ascii="Century Gothic" w:hAnsi="Century Gothic"/>
        <w:sz w:val="20"/>
        <w:szCs w:val="20"/>
      </w:rPr>
      <w:t>uly</w:t>
    </w:r>
    <w:r w:rsidR="00C73453">
      <w:rPr>
        <w:rFonts w:ascii="Century Gothic" w:hAnsi="Century Gothic"/>
        <w:sz w:val="20"/>
        <w:szCs w:val="20"/>
      </w:rPr>
      <w:t xml:space="preserve"> 2025</w:t>
    </w:r>
  </w:p>
  <w:p w14:paraId="61DD7E86" w14:textId="77777777" w:rsidR="00E5180C" w:rsidRDefault="00E51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126F" w14:textId="77777777" w:rsidR="005551B0" w:rsidRDefault="005551B0" w:rsidP="00E5180C">
      <w:pPr>
        <w:spacing w:after="0" w:line="240" w:lineRule="auto"/>
      </w:pPr>
      <w:r>
        <w:separator/>
      </w:r>
    </w:p>
  </w:footnote>
  <w:footnote w:type="continuationSeparator" w:id="0">
    <w:p w14:paraId="3F0AE235" w14:textId="77777777" w:rsidR="005551B0" w:rsidRDefault="005551B0" w:rsidP="00E5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155"/>
    <w:multiLevelType w:val="hybridMultilevel"/>
    <w:tmpl w:val="2FE25D2C"/>
    <w:lvl w:ilvl="0" w:tplc="47E225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8080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A0E18"/>
    <w:multiLevelType w:val="hybridMultilevel"/>
    <w:tmpl w:val="22381A72"/>
    <w:lvl w:ilvl="0" w:tplc="0E5E9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E6F57"/>
    <w:multiLevelType w:val="hybridMultilevel"/>
    <w:tmpl w:val="B2F4A6FA"/>
    <w:lvl w:ilvl="0" w:tplc="BA1C5F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9448441">
    <w:abstractNumId w:val="0"/>
  </w:num>
  <w:num w:numId="2" w16cid:durableId="891111929">
    <w:abstractNumId w:val="2"/>
  </w:num>
  <w:num w:numId="3" w16cid:durableId="115371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1D"/>
    <w:rsid w:val="00025936"/>
    <w:rsid w:val="00040E4B"/>
    <w:rsid w:val="000601EA"/>
    <w:rsid w:val="000621AC"/>
    <w:rsid w:val="00071F1D"/>
    <w:rsid w:val="000B1D96"/>
    <w:rsid w:val="000D33D0"/>
    <w:rsid w:val="000D6EBE"/>
    <w:rsid w:val="001055AA"/>
    <w:rsid w:val="00106218"/>
    <w:rsid w:val="00113C30"/>
    <w:rsid w:val="00183B3D"/>
    <w:rsid w:val="00191A29"/>
    <w:rsid w:val="001942C2"/>
    <w:rsid w:val="001C0330"/>
    <w:rsid w:val="001C071A"/>
    <w:rsid w:val="00221D4F"/>
    <w:rsid w:val="00226557"/>
    <w:rsid w:val="002A61C7"/>
    <w:rsid w:val="002B1E58"/>
    <w:rsid w:val="002B3300"/>
    <w:rsid w:val="002C637B"/>
    <w:rsid w:val="002F2369"/>
    <w:rsid w:val="002F392D"/>
    <w:rsid w:val="002F7AB2"/>
    <w:rsid w:val="00364D09"/>
    <w:rsid w:val="00386208"/>
    <w:rsid w:val="00387920"/>
    <w:rsid w:val="00392B8A"/>
    <w:rsid w:val="00396D50"/>
    <w:rsid w:val="00397533"/>
    <w:rsid w:val="003A015A"/>
    <w:rsid w:val="003D13B1"/>
    <w:rsid w:val="003D3278"/>
    <w:rsid w:val="003E2904"/>
    <w:rsid w:val="003E3A57"/>
    <w:rsid w:val="003F252E"/>
    <w:rsid w:val="003F7238"/>
    <w:rsid w:val="003F72DC"/>
    <w:rsid w:val="004137DC"/>
    <w:rsid w:val="00425BB1"/>
    <w:rsid w:val="0043744B"/>
    <w:rsid w:val="00444182"/>
    <w:rsid w:val="0044474B"/>
    <w:rsid w:val="00473C79"/>
    <w:rsid w:val="00480D75"/>
    <w:rsid w:val="004A50E3"/>
    <w:rsid w:val="004D67FE"/>
    <w:rsid w:val="004F792F"/>
    <w:rsid w:val="005551B0"/>
    <w:rsid w:val="00556CE7"/>
    <w:rsid w:val="00570331"/>
    <w:rsid w:val="00575A86"/>
    <w:rsid w:val="00592416"/>
    <w:rsid w:val="0059513D"/>
    <w:rsid w:val="005A1EBA"/>
    <w:rsid w:val="005A24AD"/>
    <w:rsid w:val="005D1920"/>
    <w:rsid w:val="006012A4"/>
    <w:rsid w:val="00622C97"/>
    <w:rsid w:val="006500E0"/>
    <w:rsid w:val="0065012C"/>
    <w:rsid w:val="00663C66"/>
    <w:rsid w:val="006839ED"/>
    <w:rsid w:val="00691BC8"/>
    <w:rsid w:val="00702F11"/>
    <w:rsid w:val="00711383"/>
    <w:rsid w:val="0071292E"/>
    <w:rsid w:val="00782543"/>
    <w:rsid w:val="007950CE"/>
    <w:rsid w:val="007D0E9E"/>
    <w:rsid w:val="007F40F5"/>
    <w:rsid w:val="00821673"/>
    <w:rsid w:val="0084737D"/>
    <w:rsid w:val="00871824"/>
    <w:rsid w:val="008851EE"/>
    <w:rsid w:val="008D7C57"/>
    <w:rsid w:val="00923B1D"/>
    <w:rsid w:val="009254D6"/>
    <w:rsid w:val="00933B8C"/>
    <w:rsid w:val="00947499"/>
    <w:rsid w:val="009C6126"/>
    <w:rsid w:val="009D709C"/>
    <w:rsid w:val="00A35382"/>
    <w:rsid w:val="00AD3969"/>
    <w:rsid w:val="00B25562"/>
    <w:rsid w:val="00B3066C"/>
    <w:rsid w:val="00B350C9"/>
    <w:rsid w:val="00B366F9"/>
    <w:rsid w:val="00B7328F"/>
    <w:rsid w:val="00B82891"/>
    <w:rsid w:val="00B84C54"/>
    <w:rsid w:val="00BC16C3"/>
    <w:rsid w:val="00BC3F14"/>
    <w:rsid w:val="00BE4298"/>
    <w:rsid w:val="00BF4B92"/>
    <w:rsid w:val="00C26B66"/>
    <w:rsid w:val="00C32E72"/>
    <w:rsid w:val="00C4007F"/>
    <w:rsid w:val="00C61081"/>
    <w:rsid w:val="00C65870"/>
    <w:rsid w:val="00C661DC"/>
    <w:rsid w:val="00C73453"/>
    <w:rsid w:val="00C97677"/>
    <w:rsid w:val="00CB41FC"/>
    <w:rsid w:val="00CD1FF4"/>
    <w:rsid w:val="00CE3EA4"/>
    <w:rsid w:val="00D0264B"/>
    <w:rsid w:val="00D214F6"/>
    <w:rsid w:val="00D44F50"/>
    <w:rsid w:val="00D461E0"/>
    <w:rsid w:val="00D4670B"/>
    <w:rsid w:val="00D53F95"/>
    <w:rsid w:val="00D55F1A"/>
    <w:rsid w:val="00D74A58"/>
    <w:rsid w:val="00D916D8"/>
    <w:rsid w:val="00DB50BE"/>
    <w:rsid w:val="00DB752D"/>
    <w:rsid w:val="00DD30DC"/>
    <w:rsid w:val="00DE278B"/>
    <w:rsid w:val="00E04004"/>
    <w:rsid w:val="00E3432A"/>
    <w:rsid w:val="00E507A5"/>
    <w:rsid w:val="00E5180C"/>
    <w:rsid w:val="00E57A7F"/>
    <w:rsid w:val="00E71548"/>
    <w:rsid w:val="00E75A1D"/>
    <w:rsid w:val="00E76F37"/>
    <w:rsid w:val="00EA4130"/>
    <w:rsid w:val="00ED384E"/>
    <w:rsid w:val="00EF125D"/>
    <w:rsid w:val="00F04CE5"/>
    <w:rsid w:val="00F055D6"/>
    <w:rsid w:val="00F335F5"/>
    <w:rsid w:val="00F5565D"/>
    <w:rsid w:val="00F70804"/>
    <w:rsid w:val="00F95E11"/>
    <w:rsid w:val="00FB12BF"/>
    <w:rsid w:val="00FF14C0"/>
    <w:rsid w:val="00FF225E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EEC3E"/>
  <w15:docId w15:val="{1262D4A1-BF13-4494-BE9C-D5A539F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0DC"/>
    <w:pPr>
      <w:spacing w:after="160" w:line="300" w:lineRule="auto"/>
      <w:ind w:left="720"/>
      <w:contextualSpacing/>
    </w:pPr>
    <w:rPr>
      <w:rFonts w:eastAsiaTheme="minorEastAsia"/>
      <w:sz w:val="17"/>
      <w:szCs w:val="17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51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0C"/>
  </w:style>
  <w:style w:type="paragraph" w:styleId="Footer">
    <w:name w:val="footer"/>
    <w:basedOn w:val="Normal"/>
    <w:link w:val="FooterChar"/>
    <w:uiPriority w:val="99"/>
    <w:unhideWhenUsed/>
    <w:rsid w:val="00E51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0C"/>
  </w:style>
  <w:style w:type="paragraph" w:styleId="BalloonText">
    <w:name w:val="Balloon Text"/>
    <w:basedOn w:val="Normal"/>
    <w:link w:val="BalloonTextChar"/>
    <w:uiPriority w:val="99"/>
    <w:semiHidden/>
    <w:unhideWhenUsed/>
    <w:rsid w:val="003D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1B08-ECD7-49A1-A3E7-557055D3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 Du Plooy</dc:creator>
  <cp:lastModifiedBy>Clare Sillitto</cp:lastModifiedBy>
  <cp:revision>3</cp:revision>
  <cp:lastPrinted>2025-06-24T15:02:00Z</cp:lastPrinted>
  <dcterms:created xsi:type="dcterms:W3CDTF">2025-07-07T13:50:00Z</dcterms:created>
  <dcterms:modified xsi:type="dcterms:W3CDTF">2025-07-08T12:58:00Z</dcterms:modified>
</cp:coreProperties>
</file>