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3F3F" w14:textId="77777777" w:rsidR="00286778" w:rsidRDefault="00286778" w:rsidP="003C324F"/>
    <w:p w14:paraId="14BE4EB2" w14:textId="77777777" w:rsidR="003C324F" w:rsidRPr="003C324F" w:rsidRDefault="003C324F" w:rsidP="00EB6E40">
      <w:pPr>
        <w:pStyle w:val="Heading1"/>
        <w:spacing w:before="0" w:after="0"/>
      </w:pPr>
      <w:r w:rsidRPr="003C324F">
        <w:t xml:space="preserve">Facilities Management: </w:t>
      </w:r>
      <w:r w:rsidR="00C7683B">
        <w:t xml:space="preserve">Risk Assessment </w:t>
      </w:r>
      <w:r w:rsidR="00EB6E40">
        <w:t>Installing and Replacing Luminaries and Re-lamping Luminaries</w:t>
      </w:r>
    </w:p>
    <w:p w14:paraId="63DDD156" w14:textId="77777777" w:rsidR="00E22315" w:rsidRDefault="003C324F" w:rsidP="003C324F">
      <w:r w:rsidRPr="003C324F">
        <w:t xml:space="preserve">The people that might be harmed: BBC Studioworks employees, contractors, public, artists  </w:t>
      </w:r>
    </w:p>
    <w:p w14:paraId="4FB4C5CE" w14:textId="77777777" w:rsidR="003C324F" w:rsidRDefault="003C324F" w:rsidP="003C324F"/>
    <w:tbl>
      <w:tblPr>
        <w:tblpPr w:leftFromText="180" w:rightFromText="180" w:vertAnchor="text" w:horzAnchor="margin" w:tblpXSpec="center" w:tblpY="42"/>
        <w:tblW w:w="13776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6"/>
        <w:gridCol w:w="6980"/>
      </w:tblGrid>
      <w:tr w:rsidR="00E22315" w:rsidRPr="00836B31" w14:paraId="792FE108" w14:textId="77777777" w:rsidTr="003C324F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14:paraId="65154973" w14:textId="77777777" w:rsidR="00E22315" w:rsidRPr="003C324F" w:rsidRDefault="00E22315" w:rsidP="003C324F">
            <w:pPr>
              <w:pStyle w:val="Heading1"/>
              <w:jc w:val="center"/>
            </w:pPr>
            <w:bookmarkStart w:id="0" w:name="_Hlk488321769"/>
            <w:r w:rsidRPr="003C324F">
              <w:t>Hazard</w:t>
            </w:r>
          </w:p>
        </w:tc>
        <w:tc>
          <w:tcPr>
            <w:tcW w:w="6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14:paraId="7CAFA3E7" w14:textId="77777777" w:rsidR="00E22315" w:rsidRPr="00836B31" w:rsidRDefault="00E22315" w:rsidP="003C324F">
            <w:pPr>
              <w:pStyle w:val="Heading1"/>
              <w:jc w:val="center"/>
            </w:pPr>
            <w:r w:rsidRPr="00836B31">
              <w:t>Control</w:t>
            </w:r>
          </w:p>
        </w:tc>
      </w:tr>
      <w:bookmarkEnd w:id="0"/>
      <w:tr w:rsidR="00E22315" w:rsidRPr="00836B31" w14:paraId="40DD038A" w14:textId="77777777" w:rsidTr="00CB718B">
        <w:trPr>
          <w:trHeight w:val="3456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E385" w14:textId="77777777" w:rsidR="00EB6E40" w:rsidRPr="00EB6E40" w:rsidRDefault="00EB6E40" w:rsidP="00EB6E40">
            <w:pPr>
              <w:spacing w:before="120" w:after="120"/>
              <w:rPr>
                <w:b/>
              </w:rPr>
            </w:pPr>
            <w:r w:rsidRPr="00EB6E40">
              <w:rPr>
                <w:b/>
              </w:rPr>
              <w:t>Falls from heights, Exposure to broken fluorescent lamps including broken glass. Damage to building, Falls from roofs.</w:t>
            </w:r>
          </w:p>
          <w:p w14:paraId="679D49A5" w14:textId="77777777" w:rsidR="00EB6E40" w:rsidRPr="00EB6E40" w:rsidRDefault="00EB6E40" w:rsidP="00EB6E40">
            <w:pPr>
              <w:spacing w:before="120" w:after="120"/>
              <w:rPr>
                <w:b/>
              </w:rPr>
            </w:pPr>
            <w:r w:rsidRPr="00EB6E40">
              <w:rPr>
                <w:b/>
              </w:rPr>
              <w:t>Ladder slipping, Objects being dropped, Incorrect use of ladders.</w:t>
            </w:r>
          </w:p>
          <w:p w14:paraId="181F211A" w14:textId="77777777" w:rsidR="00EB6E40" w:rsidRPr="00EB6E40" w:rsidRDefault="00EB6E40" w:rsidP="00EB6E40">
            <w:pPr>
              <w:spacing w:before="120" w:after="120"/>
              <w:rPr>
                <w:b/>
              </w:rPr>
            </w:pPr>
            <w:r w:rsidRPr="00EB6E40">
              <w:rPr>
                <w:b/>
              </w:rPr>
              <w:t>Absorption/inhalation of cadmium or mercury compounds.</w:t>
            </w:r>
          </w:p>
          <w:p w14:paraId="7D4593F8" w14:textId="77777777" w:rsidR="00EB6E40" w:rsidRPr="00EB6E40" w:rsidRDefault="00EB6E40" w:rsidP="00EB6E40">
            <w:pPr>
              <w:spacing w:before="120" w:after="120"/>
              <w:rPr>
                <w:b/>
              </w:rPr>
            </w:pPr>
            <w:r w:rsidRPr="00EB6E40">
              <w:rPr>
                <w:b/>
              </w:rPr>
              <w:t>Injury from flying glass</w:t>
            </w:r>
          </w:p>
          <w:p w14:paraId="714A93C4" w14:textId="77777777" w:rsidR="00EB6E40" w:rsidRPr="00EB6E40" w:rsidRDefault="00EB6E40" w:rsidP="00EB6E40">
            <w:pPr>
              <w:spacing w:before="120" w:after="120"/>
              <w:rPr>
                <w:b/>
              </w:rPr>
            </w:pPr>
            <w:r w:rsidRPr="00EB6E40">
              <w:rPr>
                <w:b/>
              </w:rPr>
              <w:t>Land and water pollution.</w:t>
            </w:r>
          </w:p>
          <w:p w14:paraId="5513BE03" w14:textId="77777777" w:rsidR="00E22315" w:rsidRPr="003C324F" w:rsidRDefault="00E22315" w:rsidP="003C324F">
            <w:pPr>
              <w:rPr>
                <w:rFonts w:eastAsia="Calibri"/>
                <w:b/>
              </w:rPr>
            </w:pPr>
          </w:p>
        </w:tc>
        <w:tc>
          <w:tcPr>
            <w:tcW w:w="6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6403" w14:textId="77777777" w:rsidR="00EB6E40" w:rsidRPr="00EB6E40" w:rsidRDefault="00EB6E40" w:rsidP="00EB6E40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EB6E40">
              <w:t>P</w:t>
            </w:r>
            <w:r w:rsidRPr="00EB6E40">
              <w:rPr>
                <w:sz w:val="24"/>
              </w:rPr>
              <w:t>l</w:t>
            </w:r>
            <w:r w:rsidRPr="00EB6E40">
              <w:t xml:space="preserve">anning and timing of work is essential to ensure maximum safety is provided by the use of access equipment </w:t>
            </w:r>
            <w:proofErr w:type="spellStart"/>
            <w:r w:rsidRPr="00EB6E40">
              <w:t>Mewps</w:t>
            </w:r>
            <w:proofErr w:type="spellEnd"/>
            <w:r w:rsidRPr="00EB6E40">
              <w:t>.</w:t>
            </w:r>
          </w:p>
          <w:p w14:paraId="0CA2A8A6" w14:textId="77777777" w:rsidR="00EB6E40" w:rsidRPr="00EB6E40" w:rsidRDefault="00EB6E40" w:rsidP="00EB6E40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proofErr w:type="spellStart"/>
            <w:r w:rsidRPr="00EB6E40">
              <w:t>Micc</w:t>
            </w:r>
            <w:proofErr w:type="spellEnd"/>
            <w:r w:rsidRPr="00EB6E40">
              <w:t xml:space="preserve"> scissor lift must be utilised whenever possible ladder working only to be used where access is limited or emergencies.</w:t>
            </w:r>
          </w:p>
          <w:p w14:paraId="572CAEF6" w14:textId="77777777" w:rsidR="00EB6E40" w:rsidRPr="00EB6E40" w:rsidRDefault="00EB6E40" w:rsidP="00EB6E40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EB6E40">
              <w:t xml:space="preserve">Barrier of work area with hazard tape and traffic cones or </w:t>
            </w:r>
            <w:proofErr w:type="spellStart"/>
            <w:r w:rsidRPr="00EB6E40">
              <w:t>tensa</w:t>
            </w:r>
            <w:proofErr w:type="spellEnd"/>
            <w:r w:rsidRPr="00EB6E40">
              <w:t xml:space="preserve"> barriers where possible especially with the use of cherry pickers all high level work areas to be within coned off area.</w:t>
            </w:r>
          </w:p>
          <w:p w14:paraId="6840F838" w14:textId="77777777" w:rsidR="00EB6E40" w:rsidRPr="00EB6E40" w:rsidRDefault="00EB6E40" w:rsidP="00EB6E40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EB6E40">
              <w:t xml:space="preserve">All operatives to be </w:t>
            </w:r>
            <w:proofErr w:type="spellStart"/>
            <w:r w:rsidRPr="00EB6E40">
              <w:t>Ipath</w:t>
            </w:r>
            <w:proofErr w:type="spellEnd"/>
            <w:r w:rsidRPr="00EB6E40">
              <w:t xml:space="preserve"> trained and suitable qualified for all machinery.</w:t>
            </w:r>
          </w:p>
          <w:p w14:paraId="1F7F68EB" w14:textId="77777777" w:rsidR="00EB6E40" w:rsidRPr="00EB6E40" w:rsidRDefault="00EB6E40" w:rsidP="00EB6E40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proofErr w:type="spellStart"/>
            <w:proofErr w:type="gramStart"/>
            <w:r w:rsidRPr="00EB6E40">
              <w:t>Mewp,s</w:t>
            </w:r>
            <w:proofErr w:type="spellEnd"/>
            <w:proofErr w:type="gramEnd"/>
            <w:r w:rsidRPr="00EB6E40">
              <w:t xml:space="preserve"> to be inspected before use and cherry pickers must have a banks-man at the floor to enable emergency release/lower if required.</w:t>
            </w:r>
          </w:p>
          <w:p w14:paraId="75E8BA69" w14:textId="77777777" w:rsidR="00EB6E40" w:rsidRPr="00EB6E40" w:rsidRDefault="00EB6E40" w:rsidP="00EB6E40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EB6E40">
              <w:t>Harnesses to be used at all times when in cherry picker there must not be any exceptions to this. Harness to have fixed lanyard secured to anchor points.</w:t>
            </w:r>
          </w:p>
          <w:p w14:paraId="7C445370" w14:textId="77777777" w:rsidR="00EB6E40" w:rsidRPr="00EB6E40" w:rsidRDefault="00EB6E40" w:rsidP="00EB6E40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EB6E40">
              <w:lastRenderedPageBreak/>
              <w:t>Inspect all ladders and steps prior to use ensure that the ladders are of the correct height and type and wherever possible maintain 3 points of contact at all times. Ladder work must be restricted to work that can be carried out by one hand only for short durations.</w:t>
            </w:r>
          </w:p>
          <w:p w14:paraId="6441F548" w14:textId="77777777" w:rsidR="00EB6E40" w:rsidRPr="00EB6E40" w:rsidRDefault="00EB6E40" w:rsidP="00EB6E40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EB6E40">
              <w:t>Waste lamps to be stored in suitable containers on site ready for disposal.</w:t>
            </w:r>
          </w:p>
          <w:p w14:paraId="516BC643" w14:textId="77777777" w:rsidR="00EB6E40" w:rsidRPr="00EB6E40" w:rsidRDefault="00EB6E40" w:rsidP="00EB6E40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EB6E40">
              <w:t>Store lamps in various locations close to the work faces to limit the distance travelled with glass lamps.</w:t>
            </w:r>
          </w:p>
          <w:p w14:paraId="2EA1E2E4" w14:textId="77777777" w:rsidR="00EB6E40" w:rsidRPr="00EB6E40" w:rsidRDefault="00EB6E40" w:rsidP="00EB6E40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EB6E40">
              <w:t>Where possible keep fluorescent lamps whole and intact.</w:t>
            </w:r>
          </w:p>
          <w:p w14:paraId="138A038C" w14:textId="77777777" w:rsidR="00EB6E40" w:rsidRPr="00EB6E40" w:rsidRDefault="00EB6E40" w:rsidP="00EB6E40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EB6E40">
              <w:t xml:space="preserve">All containers for the storage of lamps to be suitably marked </w:t>
            </w:r>
          </w:p>
          <w:p w14:paraId="30B6C69C" w14:textId="77777777" w:rsidR="00EB6E40" w:rsidRPr="00EB6E40" w:rsidRDefault="00EB6E40" w:rsidP="00EB6E40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>
              <w:t>Appropriate PPE</w:t>
            </w:r>
            <w:r w:rsidRPr="00EB6E40">
              <w:t xml:space="preserve"> to be worn at all times.</w:t>
            </w:r>
          </w:p>
          <w:p w14:paraId="6EEE23B7" w14:textId="77777777" w:rsidR="003C324F" w:rsidRPr="00EB6E40" w:rsidRDefault="003C324F" w:rsidP="00EB6E40"/>
        </w:tc>
      </w:tr>
    </w:tbl>
    <w:p w14:paraId="79DD99E0" w14:textId="77777777" w:rsidR="00E22315" w:rsidRPr="00E22315" w:rsidRDefault="00E22315" w:rsidP="003C324F"/>
    <w:p w14:paraId="456510EC" w14:textId="77777777" w:rsidR="00286778" w:rsidRPr="00E22315" w:rsidRDefault="00286778" w:rsidP="003C324F"/>
    <w:p w14:paraId="514712F6" w14:textId="77777777" w:rsidR="00286778" w:rsidRPr="00E22315" w:rsidRDefault="00286778" w:rsidP="003C324F"/>
    <w:p w14:paraId="2EAF506B" w14:textId="77777777" w:rsidR="00286778" w:rsidRPr="00E22315" w:rsidRDefault="00286778" w:rsidP="003C324F"/>
    <w:p w14:paraId="16ACE5AD" w14:textId="77777777" w:rsidR="00E22315" w:rsidRPr="00836B31" w:rsidRDefault="00E22315" w:rsidP="003C324F">
      <w:pPr>
        <w:rPr>
          <w:lang w:eastAsia="en-GB"/>
        </w:rPr>
      </w:pPr>
    </w:p>
    <w:p w14:paraId="01F3D84C" w14:textId="77777777" w:rsidR="0021064A" w:rsidRDefault="0021064A" w:rsidP="003C324F"/>
    <w:p w14:paraId="02BD82CD" w14:textId="77777777" w:rsidR="0021064A" w:rsidRPr="0021064A" w:rsidRDefault="0021064A" w:rsidP="0021064A"/>
    <w:p w14:paraId="3B4FA5E0" w14:textId="77777777" w:rsidR="0021064A" w:rsidRPr="0021064A" w:rsidRDefault="0021064A" w:rsidP="0021064A"/>
    <w:p w14:paraId="799B6413" w14:textId="77777777" w:rsidR="0021064A" w:rsidRPr="0021064A" w:rsidRDefault="0021064A" w:rsidP="0021064A"/>
    <w:p w14:paraId="595B2011" w14:textId="77777777" w:rsidR="0021064A" w:rsidRPr="0021064A" w:rsidRDefault="0021064A" w:rsidP="0021064A"/>
    <w:p w14:paraId="17EA0D10" w14:textId="77777777" w:rsidR="0021064A" w:rsidRPr="0021064A" w:rsidRDefault="0021064A" w:rsidP="0021064A"/>
    <w:p w14:paraId="0903CCF9" w14:textId="77777777" w:rsidR="0021064A" w:rsidRPr="0021064A" w:rsidRDefault="0021064A" w:rsidP="0021064A"/>
    <w:p w14:paraId="71DB1BBC" w14:textId="77777777" w:rsidR="0021064A" w:rsidRPr="0021064A" w:rsidRDefault="0021064A" w:rsidP="0021064A"/>
    <w:p w14:paraId="7DC3ECBC" w14:textId="77777777" w:rsidR="0021064A" w:rsidRPr="0021064A" w:rsidRDefault="0021064A" w:rsidP="0021064A"/>
    <w:p w14:paraId="605DE8CC" w14:textId="77777777" w:rsidR="0021064A" w:rsidRPr="0021064A" w:rsidRDefault="0021064A" w:rsidP="0021064A"/>
    <w:p w14:paraId="0DB8C7BC" w14:textId="77777777" w:rsidR="0021064A" w:rsidRPr="0021064A" w:rsidRDefault="0021064A" w:rsidP="0021064A"/>
    <w:p w14:paraId="04D320D0" w14:textId="77777777" w:rsidR="0021064A" w:rsidRPr="0021064A" w:rsidRDefault="0021064A" w:rsidP="0021064A"/>
    <w:p w14:paraId="329E70CE" w14:textId="77777777" w:rsidR="0021064A" w:rsidRPr="0021064A" w:rsidRDefault="0021064A" w:rsidP="0021064A"/>
    <w:p w14:paraId="035A4CE1" w14:textId="77777777" w:rsidR="0021064A" w:rsidRPr="0021064A" w:rsidRDefault="0021064A" w:rsidP="0021064A"/>
    <w:p w14:paraId="3A441680" w14:textId="77777777" w:rsidR="0021064A" w:rsidRPr="0021064A" w:rsidRDefault="0021064A" w:rsidP="0021064A"/>
    <w:p w14:paraId="61200045" w14:textId="77777777" w:rsidR="0021064A" w:rsidRPr="0021064A" w:rsidRDefault="0021064A" w:rsidP="0021064A"/>
    <w:p w14:paraId="23B733C1" w14:textId="77777777" w:rsidR="0021064A" w:rsidRPr="0021064A" w:rsidRDefault="0021064A" w:rsidP="0021064A"/>
    <w:sectPr w:rsidR="0021064A" w:rsidRPr="0021064A" w:rsidSect="003C324F">
      <w:headerReference w:type="default" r:id="rId8"/>
      <w:footerReference w:type="even" r:id="rId9"/>
      <w:footerReference w:type="default" r:id="rId10"/>
      <w:pgSz w:w="16840" w:h="11907" w:orient="landscape" w:code="9"/>
      <w:pgMar w:top="510" w:right="822" w:bottom="56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A13B" w14:textId="77777777" w:rsidR="009A5F68" w:rsidRDefault="009A5F68" w:rsidP="003C324F">
      <w:r>
        <w:separator/>
      </w:r>
    </w:p>
  </w:endnote>
  <w:endnote w:type="continuationSeparator" w:id="0">
    <w:p w14:paraId="4ED36FF3" w14:textId="77777777" w:rsidR="009A5F68" w:rsidRDefault="009A5F68" w:rsidP="003C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miSerif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1473" w14:textId="77777777" w:rsidR="007E2B61" w:rsidRDefault="00F82B83" w:rsidP="003C324F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6957472" w14:textId="77777777" w:rsidR="007E2B61" w:rsidRDefault="006E4007" w:rsidP="003C3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937822"/>
      <w:docPartObj>
        <w:docPartGallery w:val="Page Numbers (Top of Page)"/>
        <w:docPartUnique/>
      </w:docPartObj>
    </w:sdtPr>
    <w:sdtEndPr>
      <w:rPr>
        <w:rFonts w:asciiTheme="majorHAnsi" w:hAnsiTheme="majorHAnsi"/>
        <w:szCs w:val="22"/>
      </w:rPr>
    </w:sdtEndPr>
    <w:sdtContent>
      <w:p w14:paraId="7D9BA4C8" w14:textId="77777777" w:rsidR="003C324F" w:rsidRPr="003C324F" w:rsidRDefault="003C324F" w:rsidP="003C324F">
        <w:pPr>
          <w:pStyle w:val="Footer"/>
          <w:ind w:left="851"/>
          <w:rPr>
            <w:rFonts w:asciiTheme="majorHAnsi" w:hAnsiTheme="majorHAnsi"/>
            <w:sz w:val="18"/>
            <w:szCs w:val="22"/>
          </w:rPr>
        </w:pPr>
        <w:r w:rsidRPr="003C324F">
          <w:rPr>
            <w:rFonts w:asciiTheme="majorHAnsi" w:hAnsiTheme="majorHAnsi"/>
            <w:szCs w:val="22"/>
          </w:rPr>
          <w:t>File</w:t>
        </w:r>
        <w:r w:rsidRPr="00EB6E40">
          <w:rPr>
            <w:rFonts w:asciiTheme="majorHAnsi" w:hAnsiTheme="majorHAnsi"/>
            <w:szCs w:val="22"/>
          </w:rPr>
          <w:t xml:space="preserve">: </w:t>
        </w:r>
        <w:sdt>
          <w:sdtPr>
            <w:rPr>
              <w:rFonts w:asciiTheme="majorHAnsi" w:hAnsiTheme="majorHAnsi" w:cstheme="minorHAnsi"/>
              <w:color w:val="000000"/>
              <w:szCs w:val="22"/>
              <w:lang w:eastAsia="en-GB"/>
            </w:rPr>
            <w:alias w:val="Title"/>
            <w:tag w:val=""/>
            <w:id w:val="-815339554"/>
            <w:placeholder>
              <w:docPart w:val="8F545E778C9C4A63A6263E8E913E68C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EB6E40" w:rsidRPr="00EB6E40">
              <w:rPr>
                <w:rFonts w:asciiTheme="majorHAnsi" w:hAnsiTheme="majorHAnsi" w:cstheme="minorHAnsi"/>
                <w:color w:val="000000"/>
                <w:szCs w:val="22"/>
                <w:lang w:eastAsia="en-GB"/>
              </w:rPr>
              <w:t>Facilities Management: Risk Assessment Installing and Replacing Luminaries and Re-lamping Luminaries</w:t>
            </w:r>
          </w:sdtContent>
        </w:sdt>
      </w:p>
      <w:p w14:paraId="570D945A" w14:textId="77777777" w:rsidR="003C324F" w:rsidRPr="003C324F" w:rsidRDefault="003C324F" w:rsidP="003C324F">
        <w:pPr>
          <w:pStyle w:val="Footer"/>
          <w:ind w:left="851"/>
          <w:rPr>
            <w:rFonts w:asciiTheme="majorHAnsi" w:hAnsiTheme="majorHAnsi"/>
            <w:szCs w:val="22"/>
          </w:rPr>
        </w:pPr>
        <w:r w:rsidRPr="003C324F">
          <w:rPr>
            <w:rFonts w:asciiTheme="majorHAnsi" w:hAnsiTheme="majorHAnsi"/>
            <w:szCs w:val="22"/>
          </w:rPr>
          <w:t xml:space="preserve">Version: </w:t>
        </w:r>
        <w:sdt>
          <w:sdtPr>
            <w:rPr>
              <w:rFonts w:asciiTheme="majorHAnsi" w:hAnsiTheme="majorHAnsi"/>
              <w:szCs w:val="22"/>
            </w:rPr>
            <w:alias w:val="Status"/>
            <w:tag w:val=""/>
            <w:id w:val="-1984294606"/>
            <w:placeholder>
              <w:docPart w:val="74A5F32E4DF945F980FE9F9C7C8BAE5A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r w:rsidR="00C63EA2">
              <w:rPr>
                <w:rFonts w:asciiTheme="majorHAnsi" w:hAnsiTheme="majorHAnsi"/>
                <w:szCs w:val="22"/>
              </w:rPr>
              <w:t>Version 1.1</w:t>
            </w:r>
          </w:sdtContent>
        </w:sdt>
      </w:p>
      <w:p w14:paraId="3F0118BD" w14:textId="3DB3665D" w:rsidR="007E2B61" w:rsidRPr="003C324F" w:rsidRDefault="006E4007" w:rsidP="003C324F">
        <w:pPr>
          <w:pStyle w:val="Footer"/>
          <w:ind w:left="851"/>
          <w:rPr>
            <w:rStyle w:val="PageNumber"/>
            <w:rFonts w:asciiTheme="majorHAnsi" w:hAnsiTheme="majorHAnsi"/>
            <w:szCs w:val="22"/>
          </w:rPr>
        </w:pPr>
        <w:r>
          <w:rPr>
            <w:rFonts w:asciiTheme="majorHAnsi" w:hAnsiTheme="majorHAnsi"/>
            <w:szCs w:val="22"/>
          </w:rPr>
          <w:t xml:space="preserve">Last </w:t>
        </w:r>
        <w:r w:rsidR="003C324F" w:rsidRPr="003C324F">
          <w:rPr>
            <w:rFonts w:asciiTheme="majorHAnsi" w:hAnsiTheme="majorHAnsi"/>
            <w:szCs w:val="22"/>
          </w:rPr>
          <w:t>Review</w:t>
        </w:r>
        <w:r>
          <w:rPr>
            <w:rFonts w:asciiTheme="majorHAnsi" w:hAnsiTheme="majorHAnsi"/>
            <w:szCs w:val="22"/>
          </w:rPr>
          <w:t>ed</w:t>
        </w:r>
        <w:r w:rsidR="003C324F" w:rsidRPr="003C324F">
          <w:rPr>
            <w:rFonts w:asciiTheme="majorHAnsi" w:hAnsiTheme="majorHAnsi"/>
            <w:szCs w:val="22"/>
          </w:rPr>
          <w:t xml:space="preserve">: </w:t>
        </w:r>
        <w:sdt>
          <w:sdtPr>
            <w:rPr>
              <w:rFonts w:asciiTheme="majorHAnsi" w:hAnsiTheme="majorHAnsi"/>
              <w:szCs w:val="22"/>
            </w:rPr>
            <w:alias w:val="Publish Date"/>
            <w:tag w:val=""/>
            <w:id w:val="35481478"/>
            <w:placeholder>
              <w:docPart w:val="9B2B34BDDEF747508B25F3F77100B57F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3-07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r>
              <w:rPr>
                <w:rFonts w:asciiTheme="majorHAnsi" w:hAnsiTheme="majorHAnsi"/>
                <w:szCs w:val="22"/>
              </w:rPr>
              <w:t>26/07/2023</w:t>
            </w:r>
          </w:sdtContent>
        </w:sdt>
      </w:p>
    </w:sdtContent>
  </w:sdt>
  <w:p w14:paraId="281ECE8C" w14:textId="77777777" w:rsidR="007E2B61" w:rsidRPr="003C324F" w:rsidRDefault="003C324F" w:rsidP="003C324F">
    <w:pPr>
      <w:pStyle w:val="Footer"/>
      <w:jc w:val="right"/>
      <w:rPr>
        <w:rFonts w:asciiTheme="majorHAnsi" w:hAnsiTheme="majorHAnsi"/>
        <w:szCs w:val="22"/>
      </w:rPr>
    </w:pPr>
    <w:r w:rsidRPr="003C324F">
      <w:rPr>
        <w:rFonts w:asciiTheme="majorHAnsi" w:hAnsiTheme="majorHAnsi"/>
        <w:szCs w:val="22"/>
      </w:rPr>
      <w:t xml:space="preserve">Page </w:t>
    </w:r>
    <w:r w:rsidRPr="003C324F">
      <w:rPr>
        <w:rFonts w:asciiTheme="majorHAnsi" w:hAnsiTheme="majorHAnsi"/>
        <w:szCs w:val="22"/>
      </w:rPr>
      <w:fldChar w:fldCharType="begin"/>
    </w:r>
    <w:r w:rsidRPr="003C324F">
      <w:rPr>
        <w:rFonts w:asciiTheme="majorHAnsi" w:hAnsiTheme="majorHAnsi"/>
        <w:szCs w:val="22"/>
      </w:rPr>
      <w:instrText xml:space="preserve"> PAGE </w:instrText>
    </w:r>
    <w:r w:rsidRPr="003C324F">
      <w:rPr>
        <w:rFonts w:asciiTheme="majorHAnsi" w:hAnsiTheme="majorHAnsi"/>
        <w:szCs w:val="22"/>
      </w:rPr>
      <w:fldChar w:fldCharType="separate"/>
    </w:r>
    <w:r w:rsidR="00C63EA2">
      <w:rPr>
        <w:rFonts w:asciiTheme="majorHAnsi" w:hAnsiTheme="majorHAnsi"/>
        <w:noProof/>
        <w:szCs w:val="22"/>
      </w:rPr>
      <w:t>1</w:t>
    </w:r>
    <w:r w:rsidRPr="003C324F">
      <w:rPr>
        <w:rFonts w:asciiTheme="majorHAnsi" w:hAnsiTheme="majorHAnsi"/>
        <w:szCs w:val="22"/>
      </w:rPr>
      <w:fldChar w:fldCharType="end"/>
    </w:r>
    <w:r w:rsidRPr="003C324F">
      <w:rPr>
        <w:rFonts w:asciiTheme="majorHAnsi" w:hAnsiTheme="majorHAnsi"/>
        <w:szCs w:val="22"/>
      </w:rPr>
      <w:t xml:space="preserve"> of </w:t>
    </w:r>
    <w:r w:rsidRPr="003C324F">
      <w:rPr>
        <w:rFonts w:asciiTheme="majorHAnsi" w:hAnsiTheme="majorHAnsi"/>
        <w:szCs w:val="22"/>
      </w:rPr>
      <w:fldChar w:fldCharType="begin"/>
    </w:r>
    <w:r w:rsidRPr="003C324F">
      <w:rPr>
        <w:rFonts w:asciiTheme="majorHAnsi" w:hAnsiTheme="majorHAnsi"/>
        <w:szCs w:val="22"/>
      </w:rPr>
      <w:instrText xml:space="preserve"> NUMPAGES  </w:instrText>
    </w:r>
    <w:r w:rsidRPr="003C324F">
      <w:rPr>
        <w:rFonts w:asciiTheme="majorHAnsi" w:hAnsiTheme="majorHAnsi"/>
        <w:szCs w:val="22"/>
      </w:rPr>
      <w:fldChar w:fldCharType="separate"/>
    </w:r>
    <w:r w:rsidR="00C63EA2">
      <w:rPr>
        <w:rFonts w:asciiTheme="majorHAnsi" w:hAnsiTheme="majorHAnsi"/>
        <w:noProof/>
        <w:szCs w:val="22"/>
      </w:rPr>
      <w:t>2</w:t>
    </w:r>
    <w:r w:rsidRPr="003C324F">
      <w:rPr>
        <w:rFonts w:asciiTheme="majorHAnsi" w:hAnsiTheme="majorHAnsi"/>
        <w:noProof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410A" w14:textId="77777777" w:rsidR="009A5F68" w:rsidRDefault="009A5F68" w:rsidP="003C324F">
      <w:r>
        <w:separator/>
      </w:r>
    </w:p>
  </w:footnote>
  <w:footnote w:type="continuationSeparator" w:id="0">
    <w:p w14:paraId="538257D6" w14:textId="77777777" w:rsidR="009A5F68" w:rsidRDefault="009A5F68" w:rsidP="003C3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9E5C" w14:textId="6990BE1D" w:rsidR="007E2B61" w:rsidRDefault="006E4007" w:rsidP="006E4007">
    <w:pPr>
      <w:pStyle w:val="Header"/>
      <w:jc w:val="right"/>
    </w:pPr>
    <w:r>
      <w:rPr>
        <w:noProof/>
      </w:rPr>
      <w:drawing>
        <wp:inline distT="0" distB="0" distL="0" distR="0" wp14:anchorId="70DA4C74" wp14:editId="01B3E9E4">
          <wp:extent cx="1019175" cy="1019175"/>
          <wp:effectExtent l="0" t="0" r="9525" b="9525"/>
          <wp:docPr id="4" name="Picture 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D0ECA4" w14:textId="77777777" w:rsidR="007E2B61" w:rsidRDefault="006E4007" w:rsidP="003C324F">
    <w:pPr>
      <w:pStyle w:val="Header"/>
    </w:pPr>
  </w:p>
  <w:p w14:paraId="5113126A" w14:textId="77777777" w:rsidR="007E2B61" w:rsidRDefault="006E4007" w:rsidP="003C3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19E3"/>
    <w:multiLevelType w:val="hybridMultilevel"/>
    <w:tmpl w:val="4904B11A"/>
    <w:lvl w:ilvl="0" w:tplc="311A33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F7E68"/>
    <w:multiLevelType w:val="hybridMultilevel"/>
    <w:tmpl w:val="EE6C6F76"/>
    <w:lvl w:ilvl="0" w:tplc="319800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72A37"/>
    <w:multiLevelType w:val="hybridMultilevel"/>
    <w:tmpl w:val="6714C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6F18"/>
    <w:multiLevelType w:val="hybridMultilevel"/>
    <w:tmpl w:val="9006D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4456D"/>
    <w:multiLevelType w:val="hybridMultilevel"/>
    <w:tmpl w:val="4CE20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725382">
    <w:abstractNumId w:val="0"/>
  </w:num>
  <w:num w:numId="2" w16cid:durableId="1439526220">
    <w:abstractNumId w:val="2"/>
  </w:num>
  <w:num w:numId="3" w16cid:durableId="548612589">
    <w:abstractNumId w:val="1"/>
  </w:num>
  <w:num w:numId="4" w16cid:durableId="818419218">
    <w:abstractNumId w:val="3"/>
  </w:num>
  <w:num w:numId="5" w16cid:durableId="2102411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78"/>
    <w:rsid w:val="0021064A"/>
    <w:rsid w:val="00286778"/>
    <w:rsid w:val="003A4659"/>
    <w:rsid w:val="003C324F"/>
    <w:rsid w:val="006E4007"/>
    <w:rsid w:val="009A5F68"/>
    <w:rsid w:val="00C63EA2"/>
    <w:rsid w:val="00C7683B"/>
    <w:rsid w:val="00D3499A"/>
    <w:rsid w:val="00E22315"/>
    <w:rsid w:val="00EB6E40"/>
    <w:rsid w:val="00F82B83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CEDFE1"/>
  <w15:chartTrackingRefBased/>
  <w15:docId w15:val="{DB005183-FAC2-44F0-9B8B-4D3BB4BE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4F"/>
    <w:pPr>
      <w:spacing w:after="0" w:line="240" w:lineRule="auto"/>
    </w:pPr>
    <w:rPr>
      <w:rFonts w:eastAsia="Times New Roman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3C324F"/>
    <w:pPr>
      <w:spacing w:before="100" w:beforeAutospacing="1" w:after="100" w:afterAutospacing="1"/>
      <w:outlineLvl w:val="0"/>
    </w:pPr>
    <w:rPr>
      <w:rFonts w:cstheme="minorHAnsi"/>
      <w:b/>
      <w:color w:val="000000"/>
      <w:sz w:val="28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86778"/>
    <w:pPr>
      <w:keepNext/>
      <w:spacing w:before="120" w:after="120" w:line="120" w:lineRule="atLeast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286778"/>
    <w:pPr>
      <w:keepNext/>
      <w:spacing w:before="120" w:after="120" w:line="120" w:lineRule="atLeast"/>
      <w:outlineLvl w:val="3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324F"/>
    <w:rPr>
      <w:rFonts w:eastAsia="Times New Roman" w:cstheme="minorHAnsi"/>
      <w:b/>
      <w:color w:val="000000"/>
      <w:sz w:val="28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286778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286778"/>
    <w:rPr>
      <w:rFonts w:ascii="RotisSemiSerif" w:eastAsia="Times New Roman" w:hAnsi="RotisSemiSerif" w:cs="Times New Roman"/>
      <w:b/>
      <w:color w:val="FF0000"/>
      <w:szCs w:val="20"/>
    </w:rPr>
  </w:style>
  <w:style w:type="paragraph" w:styleId="BodyText2">
    <w:name w:val="Body Text 2"/>
    <w:basedOn w:val="Normal"/>
    <w:link w:val="BodyText2Char"/>
    <w:rsid w:val="00286778"/>
    <w:pPr>
      <w:spacing w:before="120" w:after="120" w:line="120" w:lineRule="atLeast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286778"/>
    <w:rPr>
      <w:rFonts w:ascii="RotisSemiSerif" w:eastAsia="Times New Roman" w:hAnsi="RotisSemiSerif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286778"/>
    <w:pPr>
      <w:spacing w:before="120" w:after="120" w:line="120" w:lineRule="atLeast"/>
      <w:jc w:val="center"/>
    </w:pPr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286778"/>
    <w:rPr>
      <w:rFonts w:ascii="Arial" w:eastAsia="Times New Roman" w:hAnsi="Arial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rsid w:val="00286778"/>
    <w:pPr>
      <w:tabs>
        <w:tab w:val="center" w:pos="4153"/>
        <w:tab w:val="right" w:pos="8306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286778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286778"/>
  </w:style>
  <w:style w:type="paragraph" w:styleId="Header">
    <w:name w:val="header"/>
    <w:basedOn w:val="Normal"/>
    <w:link w:val="HeaderChar"/>
    <w:uiPriority w:val="99"/>
    <w:unhideWhenUsed/>
    <w:rsid w:val="002867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778"/>
    <w:rPr>
      <w:rFonts w:ascii="RotisSemiSerif" w:eastAsia="Times New Roman" w:hAnsi="RotisSemiSerif" w:cs="Times New Roman"/>
      <w:sz w:val="24"/>
      <w:szCs w:val="20"/>
    </w:rPr>
  </w:style>
  <w:style w:type="paragraph" w:customStyle="1" w:styleId="Safety1-Text">
    <w:name w:val="Safety1-Text"/>
    <w:basedOn w:val="Normal"/>
    <w:rsid w:val="00E22315"/>
    <w:pPr>
      <w:overflowPunct w:val="0"/>
      <w:autoSpaceDE w:val="0"/>
      <w:autoSpaceDN w:val="0"/>
      <w:adjustRightInd w:val="0"/>
      <w:spacing w:before="60" w:after="60"/>
      <w:ind w:left="144"/>
      <w:textAlignment w:val="baseline"/>
    </w:pPr>
    <w:rPr>
      <w:rFonts w:ascii="Arial" w:hAnsi="Arial"/>
      <w:spacing w:val="10"/>
    </w:rPr>
  </w:style>
  <w:style w:type="paragraph" w:styleId="ListParagraph">
    <w:name w:val="List Paragraph"/>
    <w:basedOn w:val="Normal"/>
    <w:uiPriority w:val="34"/>
    <w:qFormat/>
    <w:rsid w:val="00E22315"/>
    <w:pPr>
      <w:spacing w:after="160" w:line="259" w:lineRule="auto"/>
      <w:ind w:left="720"/>
      <w:contextualSpacing/>
    </w:pPr>
    <w:rPr>
      <w:rFonts w:eastAsiaTheme="minorEastAsia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3C32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545E778C9C4A63A6263E8E913E6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43733-6EE8-4B2B-8FAE-9373AEDE5552}"/>
      </w:docPartPr>
      <w:docPartBody>
        <w:p w:rsidR="0041460A" w:rsidRDefault="008E2D38" w:rsidP="008E2D38">
          <w:pPr>
            <w:pStyle w:val="8F545E778C9C4A63A6263E8E913E68C2"/>
          </w:pPr>
          <w:r w:rsidRPr="00E67A4A">
            <w:rPr>
              <w:rStyle w:val="PlaceholderText"/>
            </w:rPr>
            <w:t>[Title]</w:t>
          </w:r>
        </w:p>
      </w:docPartBody>
    </w:docPart>
    <w:docPart>
      <w:docPartPr>
        <w:name w:val="74A5F32E4DF945F980FE9F9C7C8BA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F7C42-DAC6-46B2-A353-85B9958BD492}"/>
      </w:docPartPr>
      <w:docPartBody>
        <w:p w:rsidR="0041460A" w:rsidRDefault="008E2D38" w:rsidP="008E2D38">
          <w:pPr>
            <w:pStyle w:val="74A5F32E4DF945F980FE9F9C7C8BAE5A"/>
          </w:pPr>
          <w:r w:rsidRPr="00E67A4A">
            <w:rPr>
              <w:rStyle w:val="PlaceholderText"/>
            </w:rPr>
            <w:t>[Status]</w:t>
          </w:r>
        </w:p>
      </w:docPartBody>
    </w:docPart>
    <w:docPart>
      <w:docPartPr>
        <w:name w:val="9B2B34BDDEF747508B25F3F77100B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BEA0-2582-4B17-B8B2-CFD47E9FDAAE}"/>
      </w:docPartPr>
      <w:docPartBody>
        <w:p w:rsidR="0041460A" w:rsidRDefault="008E2D38" w:rsidP="008E2D38">
          <w:pPr>
            <w:pStyle w:val="9B2B34BDDEF747508B25F3F77100B57F"/>
          </w:pPr>
          <w:r w:rsidRPr="00E67A4A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miSerif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38"/>
    <w:rsid w:val="0041460A"/>
    <w:rsid w:val="006D76FD"/>
    <w:rsid w:val="008526F8"/>
    <w:rsid w:val="008E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D38"/>
    <w:rPr>
      <w:color w:val="808080"/>
    </w:rPr>
  </w:style>
  <w:style w:type="paragraph" w:customStyle="1" w:styleId="8F545E778C9C4A63A6263E8E913E68C2">
    <w:name w:val="8F545E778C9C4A63A6263E8E913E68C2"/>
    <w:rsid w:val="008E2D38"/>
  </w:style>
  <w:style w:type="paragraph" w:customStyle="1" w:styleId="74A5F32E4DF945F980FE9F9C7C8BAE5A">
    <w:name w:val="74A5F32E4DF945F980FE9F9C7C8BAE5A"/>
    <w:rsid w:val="008E2D38"/>
  </w:style>
  <w:style w:type="paragraph" w:customStyle="1" w:styleId="9B2B34BDDEF747508B25F3F77100B57F">
    <w:name w:val="9B2B34BDDEF747508B25F3F77100B57F"/>
    <w:rsid w:val="008E2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S theme 1">
  <a:themeElements>
    <a:clrScheme name="ES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000"/>
      </a:accent1>
      <a:accent2>
        <a:srgbClr val="FF0000"/>
      </a:accent2>
      <a:accent3>
        <a:srgbClr val="A5A5A5"/>
      </a:accent3>
      <a:accent4>
        <a:srgbClr val="595959"/>
      </a:accent4>
      <a:accent5>
        <a:srgbClr val="3F3F3F"/>
      </a:accent5>
      <a:accent6>
        <a:srgbClr val="262626"/>
      </a:accent6>
      <a:hlink>
        <a:srgbClr val="0C0C0C"/>
      </a:hlink>
      <a:folHlink>
        <a:srgbClr val="ED7D3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SS theme 1" id="{918E4D09-5171-4C83-A6FA-108F53114C7D}" vid="{15722B21-02F6-4C9C-8AE1-FAE440E6059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2023-07-26T00:00:00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Facilities Management: Risk Assessment Installing and Replacing Luminaries and Re-lamping Luminaries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Facilities Management: Risk Assessment Installing and Replacing Luminaries and Re-lamping Luminaries</dc:title>
  <dc:subject/>
  <dc:creator>Ben Harding</dc:creator>
  <cp:keywords/>
  <dc:description/>
  <cp:lastModifiedBy>John O'Callaghan</cp:lastModifiedBy>
  <cp:revision>2</cp:revision>
  <cp:lastPrinted>2018-11-26T16:53:00Z</cp:lastPrinted>
  <dcterms:created xsi:type="dcterms:W3CDTF">2023-07-26T10:29:00Z</dcterms:created>
  <dcterms:modified xsi:type="dcterms:W3CDTF">2023-07-26T10:29:00Z</dcterms:modified>
  <cp:contentStatus>Version 1.1</cp:contentStatus>
</cp:coreProperties>
</file>